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A1" w:rsidRPr="00B443A1" w:rsidRDefault="00B443A1" w:rsidP="00B443A1">
      <w:pPr>
        <w:jc w:val="right"/>
        <w:rPr>
          <w:rFonts w:ascii="Times New Roman" w:hAnsi="Times New Roman"/>
          <w:b/>
          <w:sz w:val="24"/>
          <w:szCs w:val="24"/>
        </w:rPr>
      </w:pPr>
      <w:r w:rsidRPr="00B443A1">
        <w:rPr>
          <w:rFonts w:ascii="Times New Roman" w:hAnsi="Times New Roman"/>
          <w:b/>
          <w:sz w:val="24"/>
          <w:szCs w:val="24"/>
        </w:rPr>
        <w:t>NACRT</w:t>
      </w:r>
    </w:p>
    <w:p w:rsidR="00064AE2" w:rsidRPr="00ED4468" w:rsidRDefault="00064AE2" w:rsidP="00B443A1">
      <w:pPr>
        <w:jc w:val="both"/>
        <w:rPr>
          <w:rFonts w:ascii="Times New Roman" w:hAnsi="Times New Roman"/>
          <w:sz w:val="24"/>
          <w:szCs w:val="24"/>
        </w:rPr>
      </w:pPr>
      <w:bookmarkStart w:id="0" w:name="_GoBack"/>
      <w:bookmarkEnd w:id="0"/>
      <w:r w:rsidRPr="00ED4468">
        <w:rPr>
          <w:rFonts w:ascii="Times New Roman" w:hAnsi="Times New Roman"/>
          <w:sz w:val="24"/>
          <w:szCs w:val="24"/>
        </w:rPr>
        <w:t>Na temelju članka 6. stavka 1. Pravilnika o načinu prikupljanja medicinske dokumentacije te utvrđivanju uvjeta i pretpos</w:t>
      </w:r>
      <w:r w:rsidR="002020D2">
        <w:rPr>
          <w:rFonts w:ascii="Times New Roman" w:hAnsi="Times New Roman"/>
          <w:sz w:val="24"/>
          <w:szCs w:val="24"/>
        </w:rPr>
        <w:t>tavki za promjenu spola ili o ži</w:t>
      </w:r>
      <w:r w:rsidRPr="00ED4468">
        <w:rPr>
          <w:rFonts w:ascii="Times New Roman" w:hAnsi="Times New Roman"/>
          <w:sz w:val="24"/>
          <w:szCs w:val="24"/>
        </w:rPr>
        <w:t>v</w:t>
      </w:r>
      <w:r w:rsidR="009F70B3">
        <w:rPr>
          <w:rFonts w:ascii="Times New Roman" w:hAnsi="Times New Roman"/>
          <w:sz w:val="24"/>
          <w:szCs w:val="24"/>
        </w:rPr>
        <w:t xml:space="preserve">otu u drugom rodnom identitetu („Narodne novine“ broj </w:t>
      </w:r>
      <w:r w:rsidR="009F70B3" w:rsidRPr="009F70B3">
        <w:rPr>
          <w:rFonts w:ascii="Times New Roman" w:hAnsi="Times New Roman"/>
          <w:sz w:val="24"/>
          <w:szCs w:val="24"/>
        </w:rPr>
        <w:t>132/14</w:t>
      </w:r>
      <w:r w:rsidR="009F70B3">
        <w:rPr>
          <w:rFonts w:ascii="Times New Roman" w:hAnsi="Times New Roman"/>
          <w:sz w:val="24"/>
          <w:szCs w:val="24"/>
        </w:rPr>
        <w:t xml:space="preserve">) </w:t>
      </w:r>
      <w:r w:rsidRPr="00ED4468">
        <w:rPr>
          <w:rFonts w:ascii="Times New Roman" w:hAnsi="Times New Roman"/>
          <w:sz w:val="24"/>
          <w:szCs w:val="24"/>
        </w:rPr>
        <w:t>ministar zdravlja donosi</w:t>
      </w:r>
    </w:p>
    <w:p w:rsidR="00064AE2" w:rsidRPr="00E663F4" w:rsidRDefault="00064AE2" w:rsidP="00ED4468"/>
    <w:p w:rsidR="000347D2" w:rsidRPr="00E663F4" w:rsidRDefault="000347D2" w:rsidP="00E663F4">
      <w:pPr>
        <w:rPr>
          <w:sz w:val="24"/>
          <w:szCs w:val="24"/>
        </w:rPr>
      </w:pPr>
    </w:p>
    <w:p w:rsidR="000347D2" w:rsidRPr="00E663F4" w:rsidRDefault="000347D2" w:rsidP="00E663F4">
      <w:pPr>
        <w:rPr>
          <w:sz w:val="24"/>
          <w:szCs w:val="24"/>
        </w:rPr>
      </w:pPr>
    </w:p>
    <w:p w:rsidR="000347D2" w:rsidRPr="00E663F4" w:rsidRDefault="000347D2" w:rsidP="00E663F4">
      <w:pPr>
        <w:rPr>
          <w:sz w:val="24"/>
          <w:szCs w:val="24"/>
        </w:rPr>
      </w:pPr>
    </w:p>
    <w:p w:rsidR="000347D2" w:rsidRPr="00E663F4" w:rsidRDefault="000347D2" w:rsidP="00E663F4">
      <w:pPr>
        <w:rPr>
          <w:sz w:val="24"/>
          <w:szCs w:val="24"/>
        </w:rPr>
      </w:pPr>
    </w:p>
    <w:p w:rsidR="000347D2" w:rsidRPr="00E663F4" w:rsidRDefault="000347D2" w:rsidP="00E663F4">
      <w:pPr>
        <w:rPr>
          <w:sz w:val="24"/>
          <w:szCs w:val="24"/>
        </w:rPr>
      </w:pPr>
    </w:p>
    <w:p w:rsidR="00ED4468" w:rsidRDefault="00064AE2" w:rsidP="00ED4468">
      <w:pPr>
        <w:jc w:val="center"/>
        <w:rPr>
          <w:rFonts w:ascii="Times New Roman" w:hAnsi="Times New Roman"/>
          <w:sz w:val="32"/>
          <w:szCs w:val="32"/>
        </w:rPr>
      </w:pPr>
      <w:r w:rsidRPr="00ED4468">
        <w:rPr>
          <w:rFonts w:ascii="Times New Roman" w:hAnsi="Times New Roman"/>
          <w:sz w:val="32"/>
          <w:szCs w:val="32"/>
        </w:rPr>
        <w:t xml:space="preserve">STRUČNE SMJERNICE ZA IZRADU MIŠLJENJA ZDRAVSTVENIH RADNIKA I PSIHOLOGA O PROMJENI SPOLA ILI ŽIVOTA U DRUGOM RODNOM IDENTITETU </w:t>
      </w:r>
    </w:p>
    <w:p w:rsidR="00EC0931" w:rsidRDefault="00EC0931" w:rsidP="00EC0931">
      <w:pPr>
        <w:jc w:val="center"/>
        <w:rPr>
          <w:rFonts w:ascii="Times New Roman" w:hAnsi="Times New Roman"/>
          <w:sz w:val="24"/>
          <w:szCs w:val="24"/>
        </w:rPr>
      </w:pPr>
      <w:r>
        <w:rPr>
          <w:rFonts w:ascii="Times New Roman" w:hAnsi="Times New Roman"/>
          <w:sz w:val="24"/>
          <w:szCs w:val="24"/>
        </w:rPr>
        <w:br w:type="page"/>
      </w:r>
    </w:p>
    <w:p w:rsidR="00D95298" w:rsidRPr="00E663F4" w:rsidRDefault="00D95298" w:rsidP="00EC0931">
      <w:pPr>
        <w:pStyle w:val="TOCNaslov"/>
        <w:spacing w:line="240" w:lineRule="auto"/>
        <w:rPr>
          <w:rFonts w:ascii="Times New Roman" w:hAnsi="Times New Roman"/>
          <w:sz w:val="24"/>
          <w:szCs w:val="24"/>
        </w:rPr>
      </w:pPr>
      <w:r w:rsidRPr="00E663F4">
        <w:rPr>
          <w:rFonts w:ascii="Times New Roman" w:hAnsi="Times New Roman"/>
          <w:sz w:val="24"/>
          <w:szCs w:val="24"/>
        </w:rPr>
        <w:lastRenderedPageBreak/>
        <w:t>Sadržaj</w:t>
      </w:r>
    </w:p>
    <w:p w:rsidR="00650A48" w:rsidRPr="00E663F4" w:rsidRDefault="00650A48" w:rsidP="00EC0931">
      <w:pPr>
        <w:spacing w:after="0" w:line="240" w:lineRule="auto"/>
        <w:rPr>
          <w:rFonts w:ascii="Times New Roman" w:hAnsi="Times New Roman"/>
          <w:sz w:val="24"/>
          <w:szCs w:val="24"/>
          <w:lang w:val="en-US"/>
        </w:rPr>
      </w:pPr>
    </w:p>
    <w:p w:rsidR="00650A48" w:rsidRPr="00E663F4" w:rsidRDefault="00834343">
      <w:pPr>
        <w:pStyle w:val="Sadraj1"/>
        <w:tabs>
          <w:tab w:val="right" w:leader="dot" w:pos="9062"/>
        </w:tabs>
        <w:rPr>
          <w:rFonts w:ascii="Times New Roman" w:eastAsiaTheme="minorEastAsia" w:hAnsi="Times New Roman"/>
          <w:noProof/>
          <w:sz w:val="24"/>
          <w:szCs w:val="24"/>
          <w:lang w:val="en-US"/>
        </w:rPr>
      </w:pPr>
      <w:r w:rsidRPr="00E663F4">
        <w:rPr>
          <w:rFonts w:ascii="Times New Roman" w:hAnsi="Times New Roman"/>
          <w:sz w:val="24"/>
          <w:szCs w:val="24"/>
        </w:rPr>
        <w:fldChar w:fldCharType="begin"/>
      </w:r>
      <w:r w:rsidR="00650A48" w:rsidRPr="00E663F4">
        <w:rPr>
          <w:rFonts w:ascii="Times New Roman" w:hAnsi="Times New Roman"/>
          <w:sz w:val="24"/>
          <w:szCs w:val="24"/>
        </w:rPr>
        <w:instrText xml:space="preserve"> TOC \o "1-3" \h \z \u </w:instrText>
      </w:r>
      <w:r w:rsidRPr="00E663F4">
        <w:rPr>
          <w:rFonts w:ascii="Times New Roman" w:hAnsi="Times New Roman"/>
          <w:sz w:val="24"/>
          <w:szCs w:val="24"/>
        </w:rPr>
        <w:fldChar w:fldCharType="separate"/>
      </w:r>
      <w:hyperlink w:anchor="_Toc431396884" w:history="1">
        <w:r w:rsidR="00650A48" w:rsidRPr="00E663F4">
          <w:rPr>
            <w:rStyle w:val="Hiperveza"/>
            <w:rFonts w:ascii="Times New Roman" w:hAnsi="Times New Roman"/>
            <w:noProof/>
            <w:sz w:val="24"/>
            <w:szCs w:val="24"/>
          </w:rPr>
          <w:t>Uvod</w:t>
        </w:r>
        <w:r w:rsidR="00650A48" w:rsidRPr="00E663F4">
          <w:rPr>
            <w:rFonts w:ascii="Times New Roman" w:hAnsi="Times New Roman"/>
            <w:noProof/>
            <w:webHidden/>
            <w:sz w:val="24"/>
            <w:szCs w:val="24"/>
          </w:rPr>
          <w:tab/>
        </w:r>
        <w:r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_Toc431396884 \h </w:instrText>
        </w:r>
        <w:r w:rsidRPr="00E663F4">
          <w:rPr>
            <w:rFonts w:ascii="Times New Roman" w:hAnsi="Times New Roman"/>
            <w:noProof/>
            <w:webHidden/>
            <w:sz w:val="24"/>
            <w:szCs w:val="24"/>
          </w:rPr>
        </w:r>
        <w:r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3</w:t>
        </w:r>
        <w:r w:rsidRPr="00E663F4">
          <w:rPr>
            <w:rFonts w:ascii="Times New Roman" w:hAnsi="Times New Roman"/>
            <w:noProof/>
            <w:webHidden/>
            <w:sz w:val="24"/>
            <w:szCs w:val="24"/>
          </w:rPr>
          <w:fldChar w:fldCharType="end"/>
        </w:r>
      </w:hyperlink>
    </w:p>
    <w:p w:rsidR="00650A48" w:rsidRPr="00E663F4" w:rsidRDefault="008730E1">
      <w:pPr>
        <w:pStyle w:val="Sadraj1"/>
        <w:tabs>
          <w:tab w:val="right" w:leader="dot" w:pos="9062"/>
        </w:tabs>
        <w:rPr>
          <w:rFonts w:ascii="Times New Roman" w:eastAsiaTheme="minorEastAsia" w:hAnsi="Times New Roman"/>
          <w:noProof/>
          <w:sz w:val="24"/>
          <w:szCs w:val="24"/>
          <w:lang w:val="en-US"/>
        </w:rPr>
      </w:pPr>
      <w:hyperlink w:anchor="_Toc431396885" w:history="1">
        <w:r w:rsidR="00650A48" w:rsidRPr="00E663F4">
          <w:rPr>
            <w:rStyle w:val="Hiperveza"/>
            <w:rFonts w:ascii="Times New Roman" w:hAnsi="Times New Roman"/>
            <w:noProof/>
            <w:sz w:val="24"/>
            <w:szCs w:val="24"/>
          </w:rPr>
          <w:t>Cilj i temeljna načela  Stručnih smjernica za izradu mišljenja zdravstvenih radnika i psihologa o promjeni spola ili života u drugom rodnom identitetu</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_Toc431396885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4</w:t>
        </w:r>
        <w:r w:rsidR="00834343" w:rsidRPr="00E663F4">
          <w:rPr>
            <w:rFonts w:ascii="Times New Roman" w:hAnsi="Times New Roman"/>
            <w:noProof/>
            <w:webHidden/>
            <w:sz w:val="24"/>
            <w:szCs w:val="24"/>
          </w:rPr>
          <w:fldChar w:fldCharType="end"/>
        </w:r>
      </w:hyperlink>
    </w:p>
    <w:p w:rsidR="00650A48" w:rsidRPr="00E663F4" w:rsidRDefault="008730E1">
      <w:pPr>
        <w:pStyle w:val="Sadraj1"/>
        <w:tabs>
          <w:tab w:val="right" w:leader="dot" w:pos="9062"/>
        </w:tabs>
        <w:rPr>
          <w:rFonts w:ascii="Times New Roman" w:eastAsiaTheme="minorEastAsia" w:hAnsi="Times New Roman"/>
          <w:noProof/>
          <w:sz w:val="24"/>
          <w:szCs w:val="24"/>
          <w:lang w:val="en-US"/>
        </w:rPr>
      </w:pPr>
      <w:hyperlink w:anchor="_Toc431396886" w:history="1">
        <w:r w:rsidR="00650A48" w:rsidRPr="00E663F4">
          <w:rPr>
            <w:rStyle w:val="Hiperveza"/>
            <w:rFonts w:ascii="Times New Roman" w:hAnsi="Times New Roman"/>
            <w:noProof/>
            <w:sz w:val="24"/>
            <w:szCs w:val="24"/>
          </w:rPr>
          <w:t>Fenomenologija rodne disforije</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_Toc431396886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6</w:t>
        </w:r>
        <w:r w:rsidR="00834343" w:rsidRPr="00E663F4">
          <w:rPr>
            <w:rFonts w:ascii="Times New Roman" w:hAnsi="Times New Roman"/>
            <w:noProof/>
            <w:webHidden/>
            <w:sz w:val="24"/>
            <w:szCs w:val="24"/>
          </w:rPr>
          <w:fldChar w:fldCharType="end"/>
        </w:r>
      </w:hyperlink>
    </w:p>
    <w:p w:rsidR="00650A48" w:rsidRPr="00E663F4" w:rsidRDefault="008730E1">
      <w:pPr>
        <w:pStyle w:val="Sadraj1"/>
        <w:tabs>
          <w:tab w:val="right" w:leader="dot" w:pos="9062"/>
        </w:tabs>
        <w:rPr>
          <w:rFonts w:ascii="Times New Roman" w:eastAsiaTheme="minorEastAsia" w:hAnsi="Times New Roman"/>
          <w:noProof/>
          <w:sz w:val="24"/>
          <w:szCs w:val="24"/>
          <w:lang w:val="en-US"/>
        </w:rPr>
      </w:pPr>
      <w:hyperlink w:anchor="_Toc431396887" w:history="1">
        <w:r w:rsidR="00650A48" w:rsidRPr="00E663F4">
          <w:rPr>
            <w:rStyle w:val="Hiperveza"/>
            <w:rFonts w:ascii="Times New Roman" w:hAnsi="Times New Roman"/>
            <w:iCs/>
            <w:noProof/>
            <w:sz w:val="24"/>
            <w:szCs w:val="24"/>
          </w:rPr>
          <w:t>Psihičko zdravlje osoba s rodnom disforijom</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_Toc431396887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10</w:t>
        </w:r>
        <w:r w:rsidR="00834343" w:rsidRPr="00E663F4">
          <w:rPr>
            <w:rFonts w:ascii="Times New Roman" w:hAnsi="Times New Roman"/>
            <w:noProof/>
            <w:webHidden/>
            <w:sz w:val="24"/>
            <w:szCs w:val="24"/>
          </w:rPr>
          <w:fldChar w:fldCharType="end"/>
        </w:r>
      </w:hyperlink>
    </w:p>
    <w:p w:rsidR="00650A48" w:rsidRPr="00E663F4" w:rsidRDefault="008730E1">
      <w:pPr>
        <w:pStyle w:val="Sadraj1"/>
        <w:tabs>
          <w:tab w:val="right" w:leader="dot" w:pos="9062"/>
        </w:tabs>
        <w:rPr>
          <w:rFonts w:ascii="Times New Roman" w:eastAsiaTheme="minorEastAsia" w:hAnsi="Times New Roman"/>
          <w:noProof/>
          <w:sz w:val="24"/>
          <w:szCs w:val="24"/>
          <w:lang w:val="en-US"/>
        </w:rPr>
      </w:pPr>
      <w:hyperlink w:anchor="_Toc431396888" w:history="1">
        <w:r w:rsidR="00650A48" w:rsidRPr="00E663F4">
          <w:rPr>
            <w:rStyle w:val="Hiperveza"/>
            <w:rFonts w:ascii="Times New Roman" w:hAnsi="Times New Roman"/>
            <w:noProof/>
            <w:sz w:val="24"/>
            <w:szCs w:val="24"/>
          </w:rPr>
          <w:t>Terapijski pristupi rodnoj disforiji</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_Toc431396888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12</w:t>
        </w:r>
        <w:r w:rsidR="00834343" w:rsidRPr="00E663F4">
          <w:rPr>
            <w:rFonts w:ascii="Times New Roman" w:hAnsi="Times New Roman"/>
            <w:noProof/>
            <w:webHidden/>
            <w:sz w:val="24"/>
            <w:szCs w:val="24"/>
          </w:rPr>
          <w:fldChar w:fldCharType="end"/>
        </w:r>
      </w:hyperlink>
    </w:p>
    <w:p w:rsidR="00650A48" w:rsidRPr="00E663F4" w:rsidRDefault="008730E1">
      <w:pPr>
        <w:pStyle w:val="Sadraj2"/>
        <w:tabs>
          <w:tab w:val="right" w:leader="dot" w:pos="9062"/>
        </w:tabs>
        <w:rPr>
          <w:rFonts w:ascii="Times New Roman" w:eastAsiaTheme="minorEastAsia" w:hAnsi="Times New Roman"/>
          <w:noProof/>
          <w:sz w:val="24"/>
          <w:szCs w:val="24"/>
          <w:lang w:val="en-US"/>
        </w:rPr>
      </w:pPr>
      <w:hyperlink w:anchor="_Toc431396889" w:history="1">
        <w:r w:rsidR="00650A48" w:rsidRPr="00E663F4">
          <w:rPr>
            <w:rStyle w:val="Hiperveza"/>
            <w:rFonts w:ascii="Times New Roman" w:hAnsi="Times New Roman"/>
            <w:noProof/>
            <w:sz w:val="24"/>
            <w:szCs w:val="24"/>
          </w:rPr>
          <w:t>Opcije za psihološki i medicinski tretman rodne disforije</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_Toc431396889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13</w:t>
        </w:r>
        <w:r w:rsidR="00834343" w:rsidRPr="00E663F4">
          <w:rPr>
            <w:rFonts w:ascii="Times New Roman" w:hAnsi="Times New Roman"/>
            <w:noProof/>
            <w:webHidden/>
            <w:sz w:val="24"/>
            <w:szCs w:val="24"/>
          </w:rPr>
          <w:fldChar w:fldCharType="end"/>
        </w:r>
      </w:hyperlink>
    </w:p>
    <w:p w:rsidR="00650A48" w:rsidRPr="00E663F4" w:rsidRDefault="008730E1">
      <w:pPr>
        <w:pStyle w:val="Sadraj1"/>
        <w:tabs>
          <w:tab w:val="right" w:leader="dot" w:pos="9062"/>
        </w:tabs>
        <w:rPr>
          <w:rFonts w:ascii="Times New Roman" w:eastAsiaTheme="minorEastAsia" w:hAnsi="Times New Roman"/>
          <w:noProof/>
          <w:sz w:val="24"/>
          <w:szCs w:val="24"/>
          <w:lang w:val="en-US"/>
        </w:rPr>
      </w:pPr>
      <w:hyperlink w:anchor="_Toc431396890" w:history="1">
        <w:r w:rsidR="00650A48" w:rsidRPr="00E663F4">
          <w:rPr>
            <w:rStyle w:val="Hiperveza"/>
            <w:rFonts w:ascii="Times New Roman" w:hAnsi="Times New Roman"/>
            <w:noProof/>
            <w:sz w:val="24"/>
            <w:szCs w:val="24"/>
          </w:rPr>
          <w:t>Protokol pružanja skrbi transrodnim i transpolnim osobama</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_Toc431396890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14</w:t>
        </w:r>
        <w:r w:rsidR="00834343" w:rsidRPr="00E663F4">
          <w:rPr>
            <w:rFonts w:ascii="Times New Roman" w:hAnsi="Times New Roman"/>
            <w:noProof/>
            <w:webHidden/>
            <w:sz w:val="24"/>
            <w:szCs w:val="24"/>
          </w:rPr>
          <w:fldChar w:fldCharType="end"/>
        </w:r>
      </w:hyperlink>
    </w:p>
    <w:p w:rsidR="00650A48" w:rsidRPr="00E663F4" w:rsidRDefault="008730E1">
      <w:pPr>
        <w:pStyle w:val="Sadraj2"/>
        <w:tabs>
          <w:tab w:val="right" w:leader="dot" w:pos="9062"/>
        </w:tabs>
        <w:rPr>
          <w:rFonts w:ascii="Times New Roman" w:eastAsiaTheme="minorEastAsia" w:hAnsi="Times New Roman"/>
          <w:noProof/>
          <w:sz w:val="24"/>
          <w:szCs w:val="24"/>
          <w:lang w:val="en-US"/>
        </w:rPr>
      </w:pPr>
      <w:hyperlink w:anchor="_Toc431396891" w:history="1">
        <w:r w:rsidR="00650A48" w:rsidRPr="00E663F4">
          <w:rPr>
            <w:rStyle w:val="Hiperveza"/>
            <w:rFonts w:ascii="Times New Roman" w:hAnsi="Times New Roman"/>
            <w:noProof/>
            <w:sz w:val="24"/>
            <w:szCs w:val="24"/>
          </w:rPr>
          <w:t>Psihološka i psihijatrijska procjena i tretman</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_Toc431396891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16</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892" w:history="1">
        <w:r w:rsidR="00650A48" w:rsidRPr="00E663F4">
          <w:rPr>
            <w:rStyle w:val="Hiperveza"/>
            <w:rFonts w:ascii="Times New Roman" w:hAnsi="Times New Roman"/>
            <w:noProof/>
            <w:sz w:val="24"/>
            <w:szCs w:val="24"/>
          </w:rPr>
          <w:t>1. Psihodijagnostika</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_Toc431396892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16</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893" w:history="1">
        <w:r w:rsidR="00650A48" w:rsidRPr="00E663F4">
          <w:rPr>
            <w:rStyle w:val="Hiperveza"/>
            <w:rFonts w:ascii="Times New Roman" w:hAnsi="Times New Roman"/>
            <w:noProof/>
            <w:sz w:val="24"/>
            <w:szCs w:val="24"/>
          </w:rPr>
          <w:t>2.  Psihoedukativne, savjetodavne i psihoterapijske intervencije</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_Toc431396893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17</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894" w:history="1">
        <w:r w:rsidR="00650A48" w:rsidRPr="00E663F4">
          <w:rPr>
            <w:rStyle w:val="Hiperveza"/>
            <w:rFonts w:ascii="Times New Roman" w:hAnsi="Times New Roman"/>
            <w:noProof/>
            <w:sz w:val="24"/>
            <w:szCs w:val="24"/>
          </w:rPr>
          <w:t>3. Praćenje tijekom života</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_Toc431396894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21</w:t>
        </w:r>
        <w:r w:rsidR="00834343" w:rsidRPr="00E663F4">
          <w:rPr>
            <w:rFonts w:ascii="Times New Roman" w:hAnsi="Times New Roman"/>
            <w:noProof/>
            <w:webHidden/>
            <w:sz w:val="24"/>
            <w:szCs w:val="24"/>
          </w:rPr>
          <w:fldChar w:fldCharType="end"/>
        </w:r>
      </w:hyperlink>
    </w:p>
    <w:p w:rsidR="00650A48" w:rsidRPr="00E663F4" w:rsidRDefault="00506FDD">
      <w:pPr>
        <w:pStyle w:val="Sadraj2"/>
        <w:tabs>
          <w:tab w:val="right" w:leader="dot" w:pos="9062"/>
        </w:tabs>
        <w:rPr>
          <w:rFonts w:ascii="Times New Roman" w:eastAsiaTheme="minorEastAsia" w:hAnsi="Times New Roman"/>
          <w:noProof/>
          <w:sz w:val="24"/>
          <w:szCs w:val="24"/>
          <w:lang w:val="en-US"/>
        </w:rPr>
      </w:pPr>
      <w:r>
        <w:rPr>
          <w:rFonts w:ascii="Times New Roman" w:eastAsiaTheme="minorEastAsia" w:hAnsi="Times New Roman"/>
          <w:noProof/>
          <w:sz w:val="24"/>
          <w:szCs w:val="24"/>
          <w:lang w:val="en-US"/>
        </w:rPr>
        <w:t xml:space="preserve">    Endokrinološka </w:t>
      </w:r>
      <w:r w:rsidR="00650A48" w:rsidRPr="00E663F4">
        <w:rPr>
          <w:rFonts w:ascii="Times New Roman" w:hAnsi="Times New Roman"/>
          <w:sz w:val="24"/>
          <w:szCs w:val="24"/>
        </w:rPr>
        <w:t>dijagnostika i tretman</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_Toc431396895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21</w:t>
      </w:r>
      <w:r w:rsidR="00834343" w:rsidRPr="00E663F4">
        <w:rPr>
          <w:rFonts w:ascii="Times New Roman" w:hAnsi="Times New Roman"/>
          <w:noProof/>
          <w:webHidden/>
          <w:sz w:val="24"/>
          <w:szCs w:val="24"/>
        </w:rPr>
        <w:fldChar w:fldCharType="end"/>
      </w:r>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896" w:history="1">
        <w:r w:rsidR="00650A48" w:rsidRPr="00E663F4">
          <w:rPr>
            <w:rStyle w:val="Hiperveza"/>
            <w:rFonts w:ascii="Times New Roman" w:hAnsi="Times New Roman"/>
            <w:noProof/>
            <w:sz w:val="24"/>
            <w:szCs w:val="24"/>
          </w:rPr>
          <w:t>Medicinska nužnost hormonske terapije</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_Toc431396896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21</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897" w:history="1">
        <w:r w:rsidR="00650A48" w:rsidRPr="00E663F4">
          <w:rPr>
            <w:rStyle w:val="Hiperveza"/>
            <w:rFonts w:ascii="Times New Roman" w:hAnsi="Times New Roman"/>
            <w:noProof/>
            <w:sz w:val="24"/>
            <w:szCs w:val="24"/>
            <w:lang w:val="es-ES"/>
          </w:rPr>
          <w:t>Kriteriji za hormonsku terapiju</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_Toc431396897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21</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898" w:history="1">
        <w:r w:rsidR="00650A48" w:rsidRPr="00E663F4">
          <w:rPr>
            <w:rStyle w:val="Hiperveza"/>
            <w:rFonts w:ascii="Times New Roman" w:hAnsi="Times New Roman"/>
            <w:noProof/>
            <w:sz w:val="24"/>
            <w:szCs w:val="24"/>
            <w:lang w:val="es-ES"/>
          </w:rPr>
          <w:t>Tjelesni učinci hormonske terapije</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_Toc431396898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22</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899" w:history="1">
        <w:r w:rsidR="00650A48" w:rsidRPr="00E663F4">
          <w:rPr>
            <w:rStyle w:val="Hiperveza"/>
            <w:rFonts w:ascii="Times New Roman" w:hAnsi="Times New Roman"/>
            <w:noProof/>
            <w:sz w:val="24"/>
            <w:szCs w:val="24"/>
          </w:rPr>
          <w:t>Rizici hormonske terapije</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_Toc431396899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24</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00" w:history="1">
        <w:r w:rsidR="00650A48" w:rsidRPr="00E663F4">
          <w:rPr>
            <w:rStyle w:val="Hiperveza"/>
            <w:rFonts w:ascii="Times New Roman" w:hAnsi="Times New Roman"/>
            <w:noProof/>
            <w:sz w:val="24"/>
            <w:szCs w:val="24"/>
            <w:lang w:val="es-ES"/>
          </w:rPr>
          <w:t>Hormonska terapija - hodogram</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_Toc431396900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26</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01" w:history="1">
        <w:r w:rsidR="00650A48" w:rsidRPr="00E663F4">
          <w:rPr>
            <w:rStyle w:val="Hiperveza"/>
            <w:rFonts w:ascii="Times New Roman" w:hAnsi="Times New Roman"/>
            <w:noProof/>
            <w:sz w:val="24"/>
            <w:szCs w:val="24"/>
          </w:rPr>
          <w:t>Procjena rizika i prilagodbe potrebne za započinjanje hormonske terapije</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_Toc431396901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27</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02" w:history="1">
        <w:r w:rsidR="00650A48" w:rsidRPr="00E663F4">
          <w:rPr>
            <w:rStyle w:val="Hiperveza"/>
            <w:rFonts w:ascii="Times New Roman" w:hAnsi="Times New Roman"/>
            <w:noProof/>
            <w:sz w:val="24"/>
            <w:szCs w:val="24"/>
          </w:rPr>
          <w:t>Procjena rizika i prilagodbe potrebne za feminizirajuću hormonsku terapiju (MtF)</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_Toc431396902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27</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03" w:history="1">
        <w:r w:rsidR="00650A48" w:rsidRPr="00E663F4">
          <w:rPr>
            <w:rStyle w:val="Hiperveza"/>
            <w:rFonts w:ascii="Times New Roman" w:hAnsi="Times New Roman"/>
            <w:noProof/>
            <w:sz w:val="24"/>
            <w:szCs w:val="24"/>
          </w:rPr>
          <w:t>Procjena rizika i prilagodbe potrebne za maskulinizirajuću hormonsku terapiju (FtM)</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_Toc431396903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28</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04" w:history="1">
        <w:r w:rsidR="00650A48" w:rsidRPr="00E663F4">
          <w:rPr>
            <w:rStyle w:val="Hiperveza"/>
            <w:rFonts w:ascii="Times New Roman" w:hAnsi="Times New Roman"/>
            <w:noProof/>
            <w:sz w:val="24"/>
            <w:szCs w:val="24"/>
          </w:rPr>
          <w:t>Kliničko praćenje radi učinkovitosti i uočavanja nepoželjnih nuspojava tijekom hormonske terapije</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_Toc431396904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28</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05" w:history="1">
        <w:r w:rsidR="00650A48" w:rsidRPr="00E663F4">
          <w:rPr>
            <w:rStyle w:val="Hiperveza"/>
            <w:rFonts w:ascii="Times New Roman" w:hAnsi="Times New Roman"/>
            <w:noProof/>
            <w:sz w:val="24"/>
            <w:szCs w:val="24"/>
          </w:rPr>
          <w:t>Učinkovitost i praćenje rizika tijekom feminizirajuće hormonske terapije (MtF)</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_Toc431396905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28</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06" w:history="1">
        <w:r w:rsidR="00650A48" w:rsidRPr="00E663F4">
          <w:rPr>
            <w:rStyle w:val="Hiperveza"/>
            <w:rFonts w:ascii="Times New Roman" w:hAnsi="Times New Roman"/>
            <w:noProof/>
            <w:sz w:val="24"/>
            <w:szCs w:val="24"/>
          </w:rPr>
          <w:t>Učinkovitost i praćenje rizika tijekom maskulinizirajuće hormonske terapije (FtM)</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_Toc431396906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29</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07" w:history="1">
        <w:r w:rsidR="00650A48" w:rsidRPr="00E663F4">
          <w:rPr>
            <w:rStyle w:val="Hiperveza"/>
            <w:rFonts w:ascii="Times New Roman" w:hAnsi="Times New Roman"/>
            <w:noProof/>
            <w:sz w:val="24"/>
            <w:szCs w:val="24"/>
            <w:lang w:val="es-ES"/>
          </w:rPr>
          <w:t>Hormonski režimi</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_Toc431396907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29</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08" w:history="1">
        <w:r w:rsidR="00650A48" w:rsidRPr="00E663F4">
          <w:rPr>
            <w:rStyle w:val="Hiperveza"/>
            <w:rFonts w:ascii="Times New Roman" w:hAnsi="Times New Roman"/>
            <w:noProof/>
            <w:sz w:val="24"/>
            <w:szCs w:val="24"/>
            <w:lang w:val="es-ES"/>
          </w:rPr>
          <w:t>Režimi za feminizirajuću hormonsku terapiju (MtF)</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_Toc431396908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30</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09" w:history="1">
        <w:r w:rsidR="00650A48" w:rsidRPr="00E663F4">
          <w:rPr>
            <w:rStyle w:val="Hiperveza"/>
            <w:rFonts w:ascii="Times New Roman" w:hAnsi="Times New Roman"/>
            <w:noProof/>
            <w:sz w:val="24"/>
            <w:szCs w:val="24"/>
          </w:rPr>
          <w:t>Režimi za maskulinizirajuću hormonsku terapiju (FtM)</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_Toc431396909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31</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10" w:history="1">
        <w:r w:rsidR="00650A48" w:rsidRPr="00E663F4">
          <w:rPr>
            <w:rStyle w:val="Hiperveza"/>
            <w:rFonts w:ascii="Times New Roman" w:hAnsi="Times New Roman"/>
            <w:noProof/>
            <w:sz w:val="24"/>
            <w:szCs w:val="24"/>
          </w:rPr>
          <w:t>Hormonska terapija u adolescenata s rodnom disforijom</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_Toc431396910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32</w:t>
        </w:r>
        <w:r w:rsidR="00834343" w:rsidRPr="00E663F4">
          <w:rPr>
            <w:rFonts w:ascii="Times New Roman" w:hAnsi="Times New Roman"/>
            <w:noProof/>
            <w:webHidden/>
            <w:sz w:val="24"/>
            <w:szCs w:val="24"/>
          </w:rPr>
          <w:fldChar w:fldCharType="end"/>
        </w:r>
      </w:hyperlink>
    </w:p>
    <w:p w:rsidR="00650A48" w:rsidRPr="00E663F4" w:rsidRDefault="008730E1">
      <w:pPr>
        <w:pStyle w:val="Sadraj2"/>
        <w:tabs>
          <w:tab w:val="right" w:leader="dot" w:pos="9062"/>
        </w:tabs>
        <w:rPr>
          <w:rFonts w:ascii="Times New Roman" w:eastAsiaTheme="minorEastAsia" w:hAnsi="Times New Roman"/>
          <w:noProof/>
          <w:sz w:val="24"/>
          <w:szCs w:val="24"/>
          <w:lang w:val="en-US"/>
        </w:rPr>
      </w:pPr>
      <w:hyperlink w:anchor="_Toc431396911" w:history="1">
        <w:r w:rsidR="00650A48" w:rsidRPr="00E663F4">
          <w:rPr>
            <w:rStyle w:val="Hiperveza"/>
            <w:rFonts w:ascii="Times New Roman" w:hAnsi="Times New Roman"/>
            <w:noProof/>
            <w:sz w:val="24"/>
            <w:szCs w:val="24"/>
            <w:lang w:eastAsia="hr-HR"/>
          </w:rPr>
          <w:t>Reproduktivno zdravlje transpolnih, transrodnih i rodno nenormativnih osoba</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_Toc431396911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33</w:t>
        </w:r>
        <w:r w:rsidR="00834343" w:rsidRPr="00E663F4">
          <w:rPr>
            <w:rFonts w:ascii="Times New Roman" w:hAnsi="Times New Roman"/>
            <w:noProof/>
            <w:webHidden/>
            <w:sz w:val="24"/>
            <w:szCs w:val="24"/>
          </w:rPr>
          <w:fldChar w:fldCharType="end"/>
        </w:r>
      </w:hyperlink>
    </w:p>
    <w:p w:rsidR="00650A48" w:rsidRPr="00E663F4" w:rsidRDefault="008730E1">
      <w:pPr>
        <w:pStyle w:val="Sadraj3"/>
        <w:tabs>
          <w:tab w:val="right" w:leader="dot" w:pos="9062"/>
        </w:tabs>
        <w:rPr>
          <w:rFonts w:ascii="Times New Roman" w:eastAsiaTheme="minorEastAsia" w:hAnsi="Times New Roman"/>
          <w:noProof/>
          <w:sz w:val="24"/>
          <w:szCs w:val="24"/>
          <w:lang w:val="en-US"/>
        </w:rPr>
      </w:pPr>
      <w:hyperlink w:anchor="_Toc431396912" w:history="1">
        <w:r w:rsidR="00650A48" w:rsidRPr="00E663F4">
          <w:rPr>
            <w:rStyle w:val="Hiperveza"/>
            <w:rFonts w:ascii="Times New Roman" w:hAnsi="Times New Roman"/>
            <w:noProof/>
            <w:sz w:val="24"/>
            <w:szCs w:val="24"/>
            <w:lang w:eastAsia="hr-HR"/>
          </w:rPr>
          <w:t>Ginekološka skrb</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_Toc431396912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33</w:t>
        </w:r>
        <w:r w:rsidR="00834343" w:rsidRPr="00E663F4">
          <w:rPr>
            <w:rFonts w:ascii="Times New Roman" w:hAnsi="Times New Roman"/>
            <w:noProof/>
            <w:webHidden/>
            <w:sz w:val="24"/>
            <w:szCs w:val="24"/>
          </w:rPr>
          <w:fldChar w:fldCharType="end"/>
        </w:r>
      </w:hyperlink>
    </w:p>
    <w:p w:rsidR="00650A48" w:rsidRPr="00E663F4" w:rsidRDefault="008730E1">
      <w:pPr>
        <w:pStyle w:val="Sadraj1"/>
        <w:tabs>
          <w:tab w:val="right" w:leader="dot" w:pos="9062"/>
        </w:tabs>
        <w:rPr>
          <w:rFonts w:ascii="Times New Roman" w:eastAsiaTheme="minorEastAsia" w:hAnsi="Times New Roman"/>
          <w:noProof/>
          <w:sz w:val="24"/>
          <w:szCs w:val="24"/>
          <w:lang w:val="en-US"/>
        </w:rPr>
      </w:pPr>
      <w:hyperlink w:anchor="_Toc431396913" w:history="1">
        <w:r w:rsidR="00650A48" w:rsidRPr="00E663F4">
          <w:rPr>
            <w:rStyle w:val="Hiperveza"/>
            <w:rFonts w:ascii="Times New Roman" w:hAnsi="Times New Roman"/>
            <w:noProof/>
            <w:sz w:val="24"/>
            <w:szCs w:val="24"/>
          </w:rPr>
          <w:t>Literatura</w:t>
        </w:r>
        <w:r w:rsidR="00650A48" w:rsidRPr="00E663F4">
          <w:rPr>
            <w:rFonts w:ascii="Times New Roman" w:hAnsi="Times New Roman"/>
            <w:noProof/>
            <w:webHidden/>
            <w:sz w:val="24"/>
            <w:szCs w:val="24"/>
          </w:rPr>
          <w:tab/>
        </w:r>
        <w:r w:rsidR="00834343" w:rsidRPr="00E663F4">
          <w:rPr>
            <w:rFonts w:ascii="Times New Roman" w:hAnsi="Times New Roman"/>
            <w:noProof/>
            <w:webHidden/>
            <w:sz w:val="24"/>
            <w:szCs w:val="24"/>
          </w:rPr>
          <w:fldChar w:fldCharType="begin"/>
        </w:r>
        <w:r w:rsidR="00650A48" w:rsidRPr="00E663F4">
          <w:rPr>
            <w:rFonts w:ascii="Times New Roman" w:hAnsi="Times New Roman"/>
            <w:noProof/>
            <w:webHidden/>
            <w:sz w:val="24"/>
            <w:szCs w:val="24"/>
          </w:rPr>
          <w:instrText xml:space="preserve"> PAGEREF _Toc431396913 \h </w:instrText>
        </w:r>
        <w:r w:rsidR="00834343" w:rsidRPr="00E663F4">
          <w:rPr>
            <w:rFonts w:ascii="Times New Roman" w:hAnsi="Times New Roman"/>
            <w:noProof/>
            <w:webHidden/>
            <w:sz w:val="24"/>
            <w:szCs w:val="24"/>
          </w:rPr>
        </w:r>
        <w:r w:rsidR="00834343" w:rsidRPr="00E663F4">
          <w:rPr>
            <w:rFonts w:ascii="Times New Roman" w:hAnsi="Times New Roman"/>
            <w:noProof/>
            <w:webHidden/>
            <w:sz w:val="24"/>
            <w:szCs w:val="24"/>
          </w:rPr>
          <w:fldChar w:fldCharType="separate"/>
        </w:r>
        <w:r w:rsidR="00D03526">
          <w:rPr>
            <w:rFonts w:ascii="Times New Roman" w:hAnsi="Times New Roman"/>
            <w:noProof/>
            <w:webHidden/>
            <w:sz w:val="24"/>
            <w:szCs w:val="24"/>
          </w:rPr>
          <w:t>35</w:t>
        </w:r>
        <w:r w:rsidR="00834343" w:rsidRPr="00E663F4">
          <w:rPr>
            <w:rFonts w:ascii="Times New Roman" w:hAnsi="Times New Roman"/>
            <w:noProof/>
            <w:webHidden/>
            <w:sz w:val="24"/>
            <w:szCs w:val="24"/>
          </w:rPr>
          <w:fldChar w:fldCharType="end"/>
        </w:r>
      </w:hyperlink>
    </w:p>
    <w:p w:rsidR="00EC0931" w:rsidRDefault="00834343">
      <w:pPr>
        <w:rPr>
          <w:rFonts w:ascii="Times New Roman" w:hAnsi="Times New Roman"/>
          <w:b/>
          <w:bCs/>
          <w:noProof/>
          <w:sz w:val="24"/>
          <w:szCs w:val="24"/>
        </w:rPr>
      </w:pPr>
      <w:r w:rsidRPr="00E663F4">
        <w:rPr>
          <w:rFonts w:ascii="Times New Roman" w:hAnsi="Times New Roman"/>
          <w:b/>
          <w:bCs/>
          <w:noProof/>
          <w:sz w:val="24"/>
          <w:szCs w:val="24"/>
        </w:rPr>
        <w:fldChar w:fldCharType="end"/>
      </w:r>
      <w:r w:rsidR="00EC0931">
        <w:rPr>
          <w:rFonts w:ascii="Times New Roman" w:hAnsi="Times New Roman"/>
          <w:b/>
          <w:bCs/>
          <w:noProof/>
          <w:sz w:val="24"/>
          <w:szCs w:val="24"/>
        </w:rPr>
        <w:br w:type="page"/>
      </w:r>
    </w:p>
    <w:p w:rsidR="00D95298" w:rsidRPr="00E663F4" w:rsidRDefault="00D95298">
      <w:pPr>
        <w:rPr>
          <w:rFonts w:ascii="Times New Roman" w:hAnsi="Times New Roman"/>
          <w:sz w:val="24"/>
          <w:szCs w:val="24"/>
        </w:rPr>
      </w:pPr>
    </w:p>
    <w:p w:rsidR="00D95298" w:rsidRPr="00E663F4" w:rsidRDefault="00D95298" w:rsidP="00BF5979">
      <w:pPr>
        <w:pStyle w:val="Naslov1"/>
        <w:rPr>
          <w:rFonts w:ascii="Times New Roman" w:hAnsi="Times New Roman"/>
          <w:sz w:val="24"/>
          <w:szCs w:val="24"/>
        </w:rPr>
      </w:pPr>
      <w:bookmarkStart w:id="1" w:name="_Toc429254712"/>
      <w:bookmarkStart w:id="2" w:name="_Toc431396761"/>
      <w:bookmarkStart w:id="3" w:name="_Toc431396884"/>
      <w:r w:rsidRPr="00E663F4">
        <w:rPr>
          <w:rFonts w:ascii="Times New Roman" w:hAnsi="Times New Roman"/>
          <w:sz w:val="24"/>
          <w:szCs w:val="24"/>
        </w:rPr>
        <w:t>Uvod</w:t>
      </w:r>
      <w:bookmarkEnd w:id="1"/>
      <w:bookmarkEnd w:id="2"/>
      <w:bookmarkEnd w:id="3"/>
    </w:p>
    <w:p w:rsidR="00F561A0" w:rsidRPr="00E663F4" w:rsidRDefault="00F561A0" w:rsidP="00E663F4">
      <w:pPr>
        <w:rPr>
          <w:sz w:val="24"/>
          <w:szCs w:val="24"/>
        </w:rPr>
      </w:pP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Suvremena znanost razlikuje pojam spola i roda. </w:t>
      </w:r>
      <w:r w:rsidRPr="00E663F4">
        <w:rPr>
          <w:rFonts w:ascii="Times New Roman" w:hAnsi="Times New Roman"/>
          <w:i/>
          <w:sz w:val="24"/>
          <w:szCs w:val="24"/>
        </w:rPr>
        <w:t>Spol</w:t>
      </w:r>
      <w:r w:rsidRPr="00E663F4">
        <w:rPr>
          <w:rFonts w:ascii="Times New Roman" w:hAnsi="Times New Roman"/>
          <w:sz w:val="24"/>
          <w:szCs w:val="24"/>
        </w:rPr>
        <w:t xml:space="preserve"> (engl. </w:t>
      </w:r>
      <w:r w:rsidRPr="00E663F4">
        <w:rPr>
          <w:rFonts w:ascii="Times New Roman" w:hAnsi="Times New Roman"/>
          <w:i/>
          <w:sz w:val="24"/>
          <w:szCs w:val="24"/>
        </w:rPr>
        <w:t>sex</w:t>
      </w:r>
      <w:r w:rsidRPr="00E663F4">
        <w:rPr>
          <w:rFonts w:ascii="Times New Roman" w:hAnsi="Times New Roman"/>
          <w:sz w:val="24"/>
          <w:szCs w:val="24"/>
        </w:rPr>
        <w:t xml:space="preserve">) se odnosi na biološka obilježja (kromosomska, gonadalna, fenotipska) s kojima je netko rođen. </w:t>
      </w:r>
      <w:r w:rsidRPr="00E663F4">
        <w:rPr>
          <w:rFonts w:ascii="Times New Roman" w:hAnsi="Times New Roman"/>
          <w:i/>
          <w:sz w:val="24"/>
          <w:szCs w:val="24"/>
        </w:rPr>
        <w:t>Rod</w:t>
      </w:r>
      <w:r w:rsidRPr="00E663F4">
        <w:rPr>
          <w:rFonts w:ascii="Times New Roman" w:hAnsi="Times New Roman"/>
          <w:sz w:val="24"/>
          <w:szCs w:val="24"/>
        </w:rPr>
        <w:t xml:space="preserve"> (engl. </w:t>
      </w:r>
      <w:r w:rsidRPr="00E663F4">
        <w:rPr>
          <w:rFonts w:ascii="Times New Roman" w:hAnsi="Times New Roman"/>
          <w:i/>
          <w:sz w:val="24"/>
          <w:szCs w:val="24"/>
        </w:rPr>
        <w:t>gender</w:t>
      </w:r>
      <w:r w:rsidRPr="00E663F4">
        <w:rPr>
          <w:rFonts w:ascii="Times New Roman" w:hAnsi="Times New Roman"/>
          <w:sz w:val="24"/>
          <w:szCs w:val="24"/>
        </w:rPr>
        <w:t xml:space="preserve">) je psihološka i socijalna kategorija koja uključuje individualni doživljaj pripadanja određenom spolu. Spol i rod su kod najvećeg broja ljudi potpuno usklađeni te je osoba spolom i rodom ili muško ili žensko. Rijetko se događa da je dijete rođeno s karakteristikama oba spola (tzv. hermafroditizam). Nešto češće, iako i dalje vrlo rijetko, se događa da spol i rod nisu usklađeni, te tada govorimo o </w:t>
      </w:r>
      <w:r w:rsidRPr="00E663F4">
        <w:rPr>
          <w:rFonts w:ascii="Times New Roman" w:hAnsi="Times New Roman"/>
          <w:i/>
          <w:sz w:val="24"/>
          <w:szCs w:val="24"/>
        </w:rPr>
        <w:t>rodnoj nenormativnosti</w:t>
      </w:r>
      <w:r w:rsidRPr="00E663F4">
        <w:rPr>
          <w:rFonts w:ascii="Times New Roman" w:hAnsi="Times New Roman"/>
          <w:sz w:val="24"/>
          <w:szCs w:val="24"/>
        </w:rPr>
        <w:t xml:space="preserve">.  </w:t>
      </w:r>
    </w:p>
    <w:p w:rsidR="00D95298" w:rsidRPr="00E663F4" w:rsidRDefault="00D95298" w:rsidP="00617AF9">
      <w:pPr>
        <w:jc w:val="both"/>
        <w:rPr>
          <w:rFonts w:ascii="Times New Roman" w:hAnsi="Times New Roman"/>
          <w:sz w:val="24"/>
          <w:szCs w:val="24"/>
        </w:rPr>
      </w:pPr>
      <w:r w:rsidRPr="00E663F4">
        <w:rPr>
          <w:rFonts w:ascii="Times New Roman" w:hAnsi="Times New Roman"/>
          <w:i/>
          <w:sz w:val="24"/>
          <w:szCs w:val="24"/>
        </w:rPr>
        <w:t>Rodna nenormativnost</w:t>
      </w:r>
      <w:r w:rsidRPr="00E663F4">
        <w:rPr>
          <w:rFonts w:ascii="Times New Roman" w:hAnsi="Times New Roman"/>
          <w:sz w:val="24"/>
          <w:szCs w:val="24"/>
        </w:rPr>
        <w:t xml:space="preserve"> odnosi se na razmjer u kojem rodni identitet, uloga ili izražavanje neke osobe odudara od kulturalnih normi koje su propisane za ljude određenoga spola . Kod vrlo rijetkih pojedinaca nesuglasje između roda i spola izaziva tzv. rodnu disforiju. </w:t>
      </w:r>
      <w:r w:rsidRPr="00E663F4">
        <w:rPr>
          <w:rFonts w:ascii="Times New Roman" w:hAnsi="Times New Roman"/>
          <w:i/>
          <w:sz w:val="24"/>
          <w:szCs w:val="24"/>
        </w:rPr>
        <w:t>Rodna disforija</w:t>
      </w:r>
      <w:r w:rsidRPr="00E663F4">
        <w:rPr>
          <w:rFonts w:ascii="Times New Roman" w:hAnsi="Times New Roman"/>
          <w:sz w:val="24"/>
          <w:szCs w:val="24"/>
          <w:vertAlign w:val="superscript"/>
        </w:rPr>
        <w:footnoteReference w:id="1"/>
      </w:r>
      <w:r w:rsidRPr="00E663F4">
        <w:rPr>
          <w:rFonts w:ascii="Times New Roman" w:hAnsi="Times New Roman"/>
          <w:sz w:val="24"/>
          <w:szCs w:val="24"/>
        </w:rPr>
        <w:t xml:space="preserve"> odnosi se na nezadovoljstvo ili stres uzrokovan nepoklapanjem rodnoga identiteta osobe i spola koji je toj osobi pripisan pri rođenju (i s tim spolom povezanom rodnom ulogom i/ili primarnim i sekundarnim spolnim obilježjima) (Coleman i sur., 2012). Samo neke rodno nenormativne osobe prolaze kroz rodnu disforiju u nekome periodu svoga života. Intenzitet rodne disforije varira među pojedincima, ali i tijekom života pojedinca. Kod nekih osoba se radi o vrlo intenzivnoj i trajnoj potrebi prilagodbe tjelesnih karakteristika rodnom identitetu i tada govorimo o transpolnosti. </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Osjećaj nelagode i nepripadanja spolu u kojem je osoba rođena se može javiti u ranom djetinjstvu (između druge i četvrte godine života), ali kod većine se takve djece tijekom odrastanja spolni i rodni identitet usklade. Istraživanja daju nekonzistentne podatke, ali može se pretpostaviti da oko 1-3% djece izražava želju da su drugoga spola, dok samo mali broj njih odraste u rodno disforične osobe (Cohen-Kettenis i Gooren, 1999; Coolidge, Thede i Young, 2002). Procjene učestalosti rodne disforije u odrasloj dobi se razlikuju kako među zemljama, tako i među razdobljima kada je istraživanje provedeno, što upućuje na kulturalne čimbenike koji nesumnjivo igraju ulogu u spremnosti osoba s rodnom disforijom da potraže pomoć. Dosadašnji podaci pokazuju učestalost od 0.005% do 0.014% kod odraslih bioloških muškaraca te 0.002% do 0.003% kod bioloških žena (DSM-5, 2013). Učestalost je vjerojatno i veća, jer se navedeni podaci temelje na transpolnim osobama koje su se javile po pomoć radi medicinskih tretmana kojima usklađuju spolna obilježja rodnom identitetu. U svim dobnim skupinama (uz izuzetak adolescenata) i u svim kulturama (uz izuzetak Japana i Poljske) je učestalost veća kod bioloških muškaraca u omjeru do 3:1 (Veale, 2008). Razlog ovakvog omjera još uvijek nije poznat. Novije meta-analize govore o kontinuiranom povećanju broja osoba koje dolaze po pomoć zbog rodne disforije (Arcelus i sur., 2015), no nedostaju </w:t>
      </w:r>
      <w:r w:rsidRPr="00E663F4">
        <w:rPr>
          <w:rFonts w:ascii="Times New Roman" w:hAnsi="Times New Roman"/>
          <w:sz w:val="24"/>
          <w:szCs w:val="24"/>
        </w:rPr>
        <w:lastRenderedPageBreak/>
        <w:t xml:space="preserve">epidemiološka istraživanja provedena na općoj populaciji i u različitim društvenim i kulturalnim kontekstima koji bi mogli dati valjane i pouzdane podatke o prevalenciji rodne disforije.  </w:t>
      </w:r>
    </w:p>
    <w:p w:rsidR="00FD007F" w:rsidRPr="00E663F4" w:rsidRDefault="00FD007F" w:rsidP="00617AF9">
      <w:pPr>
        <w:jc w:val="both"/>
        <w:rPr>
          <w:rFonts w:ascii="Times New Roman" w:hAnsi="Times New Roman"/>
          <w:sz w:val="24"/>
          <w:szCs w:val="24"/>
        </w:rPr>
      </w:pPr>
    </w:p>
    <w:p w:rsidR="00D95298" w:rsidRPr="00E663F4" w:rsidRDefault="00D95298" w:rsidP="00BF5979">
      <w:pPr>
        <w:pStyle w:val="Naslov1"/>
        <w:rPr>
          <w:rFonts w:ascii="Times New Roman" w:hAnsi="Times New Roman"/>
          <w:sz w:val="24"/>
          <w:szCs w:val="24"/>
        </w:rPr>
      </w:pPr>
      <w:bookmarkStart w:id="4" w:name="_Toc429254713"/>
      <w:bookmarkStart w:id="5" w:name="_Toc431396762"/>
      <w:bookmarkStart w:id="6" w:name="_Toc431396885"/>
      <w:r w:rsidRPr="00E663F4">
        <w:rPr>
          <w:rFonts w:ascii="Times New Roman" w:hAnsi="Times New Roman"/>
          <w:sz w:val="24"/>
          <w:szCs w:val="24"/>
        </w:rPr>
        <w:t>Cilj i temeljna načela  Stručnih smjernica za izradu mišljenja zdravstvenih radnika i psihologa o promjeni spola ili života u drugom rodnom identitetu</w:t>
      </w:r>
      <w:bookmarkEnd w:id="4"/>
      <w:bookmarkEnd w:id="5"/>
      <w:bookmarkEnd w:id="6"/>
    </w:p>
    <w:p w:rsidR="00FD007F" w:rsidRPr="00E663F4" w:rsidRDefault="00FD007F" w:rsidP="00E663F4">
      <w:pPr>
        <w:rPr>
          <w:sz w:val="24"/>
          <w:szCs w:val="24"/>
        </w:rPr>
      </w:pP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U dijagnostici i tretmanu složenih i rijetkih stanja kao što je rodna disforija temeljni je pristup konsenzus. Rodna disforija još uvijek izaziva kontroverze u stručnoj javnosti. Iako je stanje rodne i spolne neusklađenosti poznato još iz pretpovijesnih vremena, odnos društva je određivao stupanj i vrstu patologizacije koja mu je pridavana (Richards i sur., 2015). U nekim kulturalnim kontekstima se na rodnu nenormativnost gledalo sa štovanjem, a pojedinci su zauzimali cijenjeno mjesto u društvenoj hijerahiji (Begić, 2013). U suvremenom zapadnom društvu se na rodnu nenormativnost donedavno gledalo kao na oblik psihopatologije (Richards i sur., 2015). Zadnjih se desetljeća ovaj odnos mijenja i rodna se disforija sve rjeđe smatra psihopatološkim stanjem, a sve češće varijacijom koja samo ponekad zahtijeva medicinsku skrb. Promjena stava se može razvidno pratiti kroz promjene u klasifikacijskim sustavima. U trećem izdanju Dijagnostičkog i statističkog priručnika za psihičke poremećaje (Diagnostic and Statistical Manual of Mental Disorders – DSM) radilo se o parafiliji, u četvrtom izdanju o </w:t>
      </w:r>
      <w:r w:rsidRPr="00E663F4">
        <w:rPr>
          <w:rFonts w:ascii="Times New Roman" w:hAnsi="Times New Roman"/>
          <w:i/>
          <w:sz w:val="24"/>
          <w:szCs w:val="24"/>
        </w:rPr>
        <w:t>Poremećaju rodnog identiteta</w:t>
      </w:r>
      <w:r w:rsidRPr="00E663F4">
        <w:rPr>
          <w:rFonts w:ascii="Times New Roman" w:hAnsi="Times New Roman"/>
          <w:sz w:val="24"/>
          <w:szCs w:val="24"/>
        </w:rPr>
        <w:t xml:space="preserve">, dok se u najnovijem, petom izdanju ovo stanje naziva </w:t>
      </w:r>
      <w:r w:rsidRPr="00E663F4">
        <w:rPr>
          <w:rFonts w:ascii="Times New Roman" w:hAnsi="Times New Roman"/>
          <w:i/>
          <w:sz w:val="24"/>
          <w:szCs w:val="24"/>
        </w:rPr>
        <w:t>rodnom disforijom</w:t>
      </w:r>
      <w:r w:rsidRPr="00E663F4">
        <w:rPr>
          <w:rFonts w:ascii="Times New Roman" w:hAnsi="Times New Roman"/>
          <w:sz w:val="24"/>
          <w:szCs w:val="24"/>
        </w:rPr>
        <w:t xml:space="preserve">, čime je izbjegnuto spominjanje riječi </w:t>
      </w:r>
      <w:r w:rsidRPr="00E663F4">
        <w:rPr>
          <w:rFonts w:ascii="Times New Roman" w:hAnsi="Times New Roman"/>
          <w:i/>
          <w:sz w:val="24"/>
          <w:szCs w:val="24"/>
        </w:rPr>
        <w:t>poremećaj</w:t>
      </w:r>
      <w:r w:rsidRPr="00E663F4">
        <w:rPr>
          <w:rFonts w:ascii="Times New Roman" w:hAnsi="Times New Roman"/>
          <w:sz w:val="24"/>
          <w:szCs w:val="24"/>
        </w:rPr>
        <w:t xml:space="preserve"> u nazivu stanja. U desetom izdanju Međunarodne klasifikacije bolesti (MKB-10) upotrebljava se naziv </w:t>
      </w:r>
      <w:r w:rsidRPr="00E663F4">
        <w:rPr>
          <w:rFonts w:ascii="Times New Roman" w:hAnsi="Times New Roman"/>
          <w:i/>
          <w:sz w:val="24"/>
          <w:szCs w:val="24"/>
        </w:rPr>
        <w:t>Transseksualnost</w:t>
      </w:r>
      <w:r w:rsidRPr="00E663F4">
        <w:rPr>
          <w:rFonts w:ascii="Times New Roman" w:hAnsi="Times New Roman"/>
          <w:sz w:val="24"/>
          <w:szCs w:val="24"/>
        </w:rPr>
        <w:t xml:space="preserve"> i svrstan je pod kategoriju psihičkih poremećaja (F kategorija). Prema najnovijim spoznajama u MKB-11 bit će upotrjebljen naziv </w:t>
      </w:r>
      <w:r w:rsidRPr="00E663F4">
        <w:rPr>
          <w:rFonts w:ascii="Times New Roman" w:hAnsi="Times New Roman"/>
          <w:i/>
          <w:sz w:val="24"/>
          <w:szCs w:val="24"/>
        </w:rPr>
        <w:t>Gender Incongruence (rodna inkongruentnost)</w:t>
      </w:r>
      <w:r w:rsidRPr="00E663F4">
        <w:rPr>
          <w:rFonts w:ascii="Times New Roman" w:hAnsi="Times New Roman"/>
          <w:sz w:val="24"/>
          <w:szCs w:val="24"/>
        </w:rPr>
        <w:t xml:space="preserve">, ta će dijagnoza biti potpuno izuzeta iz kategorije psihičkih poremećaja i svrstana ili u posebnu kategoriju </w:t>
      </w:r>
      <w:r w:rsidRPr="00E663F4">
        <w:rPr>
          <w:rFonts w:ascii="Times New Roman" w:hAnsi="Times New Roman"/>
          <w:i/>
          <w:sz w:val="24"/>
          <w:szCs w:val="24"/>
        </w:rPr>
        <w:t>Stanja povezanih sa seksualnim zdravljem</w:t>
      </w:r>
      <w:r w:rsidRPr="00E663F4">
        <w:rPr>
          <w:rFonts w:ascii="Times New Roman" w:hAnsi="Times New Roman"/>
          <w:sz w:val="24"/>
          <w:szCs w:val="24"/>
        </w:rPr>
        <w:t xml:space="preserve"> ili u sadašnju Z kategoriju </w:t>
      </w:r>
      <w:r w:rsidRPr="00E663F4">
        <w:rPr>
          <w:rFonts w:ascii="Times New Roman" w:hAnsi="Times New Roman"/>
          <w:i/>
          <w:sz w:val="24"/>
          <w:szCs w:val="24"/>
        </w:rPr>
        <w:t xml:space="preserve">Stanja koja zahtijevaju medicinsku skrb </w:t>
      </w:r>
      <w:r w:rsidRPr="00E663F4">
        <w:rPr>
          <w:rFonts w:ascii="Times New Roman" w:hAnsi="Times New Roman"/>
          <w:sz w:val="24"/>
          <w:szCs w:val="24"/>
        </w:rPr>
        <w:t>(Richards i sur., 2015).</w:t>
      </w:r>
      <w:r w:rsidRPr="00E663F4">
        <w:rPr>
          <w:rFonts w:ascii="Times New Roman" w:hAnsi="Times New Roman"/>
          <w:i/>
          <w:sz w:val="24"/>
          <w:szCs w:val="24"/>
        </w:rPr>
        <w:t xml:space="preserve"> </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Suvremeni i znanstveno utemeljeni pristupi zdravstvenoj i psihosocijalnoj skrbi transrodnim, transpolnim i rodno nenormativnim osobama u zemljama Europske unije i Sjeverne Amerike se oslanjaju na preporuke Svjetske strukovne organizacije za zdravlje transrodnih osoba (World Professional Association for Transgender Health, WPATH). Ova organizacija okuplja vrhunske stručnjake iz područja biomedicinskih i društvenih znanosti te udruge civilnog društva koji se zalažu za poštivanje ljudskih prava i promicanje prava na samoodređenje. </w:t>
      </w:r>
      <w:r w:rsidRPr="00E663F4">
        <w:rPr>
          <w:rFonts w:ascii="Times New Roman" w:hAnsi="Times New Roman"/>
          <w:i/>
          <w:sz w:val="24"/>
          <w:szCs w:val="24"/>
        </w:rPr>
        <w:t>Standardi skrbi za zdravlje transpolnih, transrodnih i rodno nenormativnih osoba</w:t>
      </w:r>
      <w:r w:rsidRPr="00E663F4">
        <w:rPr>
          <w:rFonts w:ascii="Times New Roman" w:hAnsi="Times New Roman"/>
          <w:sz w:val="24"/>
          <w:szCs w:val="24"/>
        </w:rPr>
        <w:t xml:space="preserve">, </w:t>
      </w:r>
      <w:r w:rsidRPr="00E663F4">
        <w:rPr>
          <w:rFonts w:ascii="Times New Roman" w:hAnsi="Times New Roman"/>
          <w:i/>
          <w:sz w:val="24"/>
          <w:szCs w:val="24"/>
        </w:rPr>
        <w:t>sedma verzija</w:t>
      </w:r>
      <w:r w:rsidRPr="00E663F4">
        <w:rPr>
          <w:rFonts w:ascii="Times New Roman" w:hAnsi="Times New Roman"/>
          <w:sz w:val="24"/>
          <w:szCs w:val="24"/>
        </w:rPr>
        <w:t xml:space="preserve">  (Coleman i sur., 2012) se u međunarodnoj stručnoj javnosti smatraju zlatnim standardom organizacije skrbi. Sedma verzija </w:t>
      </w:r>
      <w:r w:rsidRPr="00E663F4">
        <w:rPr>
          <w:rFonts w:ascii="Times New Roman" w:hAnsi="Times New Roman"/>
          <w:i/>
          <w:sz w:val="24"/>
          <w:szCs w:val="24"/>
        </w:rPr>
        <w:t>Standarda skrbi</w:t>
      </w:r>
      <w:r w:rsidRPr="00E663F4">
        <w:rPr>
          <w:rFonts w:ascii="Times New Roman" w:hAnsi="Times New Roman"/>
          <w:sz w:val="24"/>
          <w:szCs w:val="24"/>
        </w:rPr>
        <w:t xml:space="preserve"> se razlikuje od prijašnjih verzija u prepoznavanju i priznavanju raznih izražaja roda koji ne zahtijevaju psihološke, hormonske ili kirurške tretmane. Osim toga, naglašena je preporuka o kulturalnoj i društvenoj prilagodbi smjernica lokalnoj stvarnosti kako bi se izbjegla dodatna stigmatizacija rodno disforičnih osoba.</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lastRenderedPageBreak/>
        <w:t xml:space="preserve">Ministar zdravlja Republike Hrvatske je u svibnju 2015. godine imenovao Listu stručnjaka s iskustvom i edukacijom iz zdravstvene zaštite transrodnih osoba čiji je zadatak bio predložiti Stručne smjernice za izradu mišljenja o promjeni spola ili života u drugom rodnom identitetu. Lista je sastavljena od stručnjaka iz područja kliničke psihologije, psihijatrije, endokrinologije, ginekologije i kirurgije, a na njoj se nalaze stručnjaci koji imaju iskustvo i dodatne edukacije iz područja transrodnosti i transpolnosti. </w:t>
      </w:r>
    </w:p>
    <w:p w:rsidR="00D95298" w:rsidRPr="00E663F4" w:rsidRDefault="00D95298" w:rsidP="00617AF9">
      <w:pPr>
        <w:jc w:val="both"/>
        <w:rPr>
          <w:rFonts w:ascii="Times New Roman" w:hAnsi="Times New Roman"/>
          <w:bCs/>
          <w:sz w:val="24"/>
          <w:szCs w:val="24"/>
        </w:rPr>
      </w:pPr>
      <w:r w:rsidRPr="00E663F4">
        <w:rPr>
          <w:rFonts w:ascii="Times New Roman" w:hAnsi="Times New Roman"/>
          <w:sz w:val="24"/>
          <w:szCs w:val="24"/>
        </w:rPr>
        <w:t xml:space="preserve">Stručnjaci s liste su  kritički  proučili  mjerodavnu  znanstvenu i stručnu literaturu te predlažu </w:t>
      </w:r>
      <w:r w:rsidRPr="00E663F4">
        <w:rPr>
          <w:rFonts w:ascii="Times New Roman" w:hAnsi="Times New Roman"/>
          <w:i/>
          <w:sz w:val="24"/>
          <w:szCs w:val="24"/>
        </w:rPr>
        <w:t>Stručne smjernice</w:t>
      </w:r>
      <w:r w:rsidRPr="00E663F4">
        <w:rPr>
          <w:rFonts w:ascii="Times New Roman" w:hAnsi="Times New Roman"/>
          <w:sz w:val="24"/>
          <w:szCs w:val="24"/>
        </w:rPr>
        <w:t xml:space="preserve"> </w:t>
      </w:r>
      <w:r w:rsidRPr="00E663F4">
        <w:rPr>
          <w:rFonts w:ascii="Times New Roman" w:hAnsi="Times New Roman"/>
          <w:bCs/>
          <w:sz w:val="24"/>
          <w:szCs w:val="24"/>
        </w:rPr>
        <w:t xml:space="preserve">s ciljem: </w:t>
      </w:r>
    </w:p>
    <w:p w:rsidR="00D95298" w:rsidRPr="00E663F4" w:rsidRDefault="00D95298" w:rsidP="00617AF9">
      <w:pPr>
        <w:pStyle w:val="Odlomakpopisa"/>
        <w:numPr>
          <w:ilvl w:val="0"/>
          <w:numId w:val="3"/>
        </w:numPr>
        <w:jc w:val="both"/>
        <w:rPr>
          <w:rFonts w:ascii="Times New Roman" w:hAnsi="Times New Roman"/>
          <w:bCs/>
          <w:sz w:val="24"/>
          <w:szCs w:val="24"/>
        </w:rPr>
      </w:pPr>
      <w:r w:rsidRPr="00E663F4">
        <w:rPr>
          <w:rFonts w:ascii="Times New Roman" w:hAnsi="Times New Roman"/>
          <w:bCs/>
          <w:sz w:val="24"/>
          <w:szCs w:val="24"/>
        </w:rPr>
        <w:t xml:space="preserve">standardizacije postupaka pružanja zdravstvene i psihosocijalne zaštite rodno disforičnim osobama </w:t>
      </w:r>
    </w:p>
    <w:p w:rsidR="00D95298" w:rsidRPr="00E663F4" w:rsidRDefault="00D95298" w:rsidP="00617AF9">
      <w:pPr>
        <w:pStyle w:val="Odlomakpopisa"/>
        <w:numPr>
          <w:ilvl w:val="0"/>
          <w:numId w:val="3"/>
        </w:numPr>
        <w:jc w:val="both"/>
        <w:rPr>
          <w:rFonts w:ascii="Times New Roman" w:hAnsi="Times New Roman"/>
          <w:bCs/>
          <w:sz w:val="24"/>
          <w:szCs w:val="24"/>
        </w:rPr>
      </w:pPr>
      <w:r w:rsidRPr="00E663F4">
        <w:rPr>
          <w:rFonts w:ascii="Times New Roman" w:hAnsi="Times New Roman"/>
          <w:bCs/>
          <w:sz w:val="24"/>
          <w:szCs w:val="24"/>
        </w:rPr>
        <w:t xml:space="preserve">standardizacije postupka izrade mišljenja o </w:t>
      </w:r>
      <w:r w:rsidRPr="00E663F4">
        <w:rPr>
          <w:rFonts w:ascii="Times New Roman" w:hAnsi="Times New Roman"/>
          <w:color w:val="000000"/>
          <w:sz w:val="24"/>
          <w:szCs w:val="24"/>
        </w:rPr>
        <w:t>utvrđivanju uvjeta i pretpostavki za promjenu spola i života u drugom rodnom identitetu, utemeljene na etičkim i profesionalnim načelima.</w:t>
      </w:r>
      <w:r w:rsidRPr="00E663F4">
        <w:rPr>
          <w:rFonts w:ascii="Times New Roman" w:hAnsi="Times New Roman"/>
          <w:bCs/>
          <w:sz w:val="24"/>
          <w:szCs w:val="24"/>
        </w:rPr>
        <w:t xml:space="preserve"> </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Ove Smjernice temelje se na:</w:t>
      </w:r>
    </w:p>
    <w:p w:rsidR="00D95298" w:rsidRPr="00E663F4" w:rsidRDefault="00D95298" w:rsidP="00617AF9">
      <w:pPr>
        <w:pStyle w:val="Odlomakpopisa"/>
        <w:numPr>
          <w:ilvl w:val="0"/>
          <w:numId w:val="6"/>
        </w:numPr>
        <w:ind w:left="720"/>
        <w:jc w:val="both"/>
        <w:rPr>
          <w:rFonts w:ascii="Times New Roman" w:hAnsi="Times New Roman"/>
          <w:sz w:val="24"/>
          <w:szCs w:val="24"/>
        </w:rPr>
      </w:pPr>
      <w:r w:rsidRPr="00E663F4">
        <w:rPr>
          <w:rFonts w:ascii="Times New Roman" w:hAnsi="Times New Roman"/>
          <w:sz w:val="24"/>
          <w:szCs w:val="24"/>
        </w:rPr>
        <w:t xml:space="preserve">znanstveno utemeljenim spoznajama o etiologiji ovog stanja, te učinkovitim tretmanima kojima je cilj poboljšanje kvalitete života.   </w:t>
      </w:r>
    </w:p>
    <w:p w:rsidR="00D95298" w:rsidRPr="00E663F4" w:rsidRDefault="00D95298" w:rsidP="00617AF9">
      <w:pPr>
        <w:pStyle w:val="Odlomakpopisa"/>
        <w:numPr>
          <w:ilvl w:val="0"/>
          <w:numId w:val="6"/>
        </w:numPr>
        <w:ind w:left="720"/>
        <w:jc w:val="both"/>
        <w:rPr>
          <w:rFonts w:ascii="Times New Roman" w:hAnsi="Times New Roman"/>
          <w:sz w:val="24"/>
          <w:szCs w:val="24"/>
        </w:rPr>
      </w:pPr>
      <w:r w:rsidRPr="00E663F4">
        <w:rPr>
          <w:rFonts w:ascii="Times New Roman" w:hAnsi="Times New Roman"/>
          <w:sz w:val="24"/>
          <w:szCs w:val="24"/>
        </w:rPr>
        <w:t xml:space="preserve">standardima skrbi za zdravlje transpolnih, transrodnih i rodno nenormativnih osoba, sedma verzija (Coleman i sur., 2012), poštujući pri tome naputak o kulturalnoj i društvenoj prilagodbi lokalnoj stvarnosti. </w:t>
      </w:r>
    </w:p>
    <w:p w:rsidR="00D95298" w:rsidRPr="00E663F4" w:rsidRDefault="00D95298" w:rsidP="00617AF9">
      <w:pPr>
        <w:pStyle w:val="Odlomakpopisa"/>
        <w:numPr>
          <w:ilvl w:val="0"/>
          <w:numId w:val="6"/>
        </w:numPr>
        <w:ind w:left="720"/>
        <w:jc w:val="both"/>
        <w:rPr>
          <w:rFonts w:ascii="Times New Roman" w:hAnsi="Times New Roman"/>
          <w:sz w:val="24"/>
          <w:szCs w:val="24"/>
        </w:rPr>
      </w:pPr>
      <w:r w:rsidRPr="00E663F4">
        <w:rPr>
          <w:rFonts w:ascii="Times New Roman" w:hAnsi="Times New Roman"/>
          <w:sz w:val="24"/>
          <w:szCs w:val="24"/>
        </w:rPr>
        <w:t xml:space="preserve">biopsihocijalnom modelu zdravlja i bolesti koji naglašava značaj bioloških, psiholoških i socijalnih sustava koji kroz svoja međudjelovanja određuju ishode. </w:t>
      </w:r>
    </w:p>
    <w:p w:rsidR="00D95298" w:rsidRPr="00E663F4" w:rsidRDefault="00D95298" w:rsidP="00617AF9">
      <w:pPr>
        <w:pStyle w:val="Odlomakpopisa"/>
        <w:numPr>
          <w:ilvl w:val="0"/>
          <w:numId w:val="6"/>
        </w:numPr>
        <w:ind w:left="720"/>
        <w:jc w:val="both"/>
        <w:rPr>
          <w:rFonts w:ascii="Times New Roman" w:hAnsi="Times New Roman"/>
          <w:sz w:val="24"/>
          <w:szCs w:val="24"/>
        </w:rPr>
      </w:pPr>
      <w:r w:rsidRPr="00E663F4">
        <w:rPr>
          <w:rFonts w:ascii="Times New Roman" w:hAnsi="Times New Roman"/>
          <w:sz w:val="24"/>
          <w:szCs w:val="24"/>
        </w:rPr>
        <w:t xml:space="preserve">shvaćanju kako je rodna nenormativnost, transrodnost i transpolnost pitanje različitosti, a ne patologije. Stres rodne disforije je taj koji, kada je prisutan, predstavlja problem koji je moguće dijagnosticirati i za koji postoje različite opcije tretmana (Richards i sur., 2015). </w:t>
      </w:r>
    </w:p>
    <w:p w:rsidR="00D95298" w:rsidRPr="00E663F4" w:rsidRDefault="00D95298" w:rsidP="00617AF9">
      <w:pPr>
        <w:pStyle w:val="Odlomakpopisa"/>
        <w:numPr>
          <w:ilvl w:val="0"/>
          <w:numId w:val="6"/>
        </w:numPr>
        <w:ind w:left="720"/>
        <w:jc w:val="both"/>
        <w:rPr>
          <w:rFonts w:ascii="Times New Roman" w:hAnsi="Times New Roman"/>
          <w:sz w:val="24"/>
          <w:szCs w:val="24"/>
        </w:rPr>
      </w:pPr>
      <w:r w:rsidRPr="00E663F4">
        <w:rPr>
          <w:rFonts w:ascii="Times New Roman" w:hAnsi="Times New Roman"/>
          <w:sz w:val="24"/>
          <w:szCs w:val="24"/>
        </w:rPr>
        <w:t xml:space="preserve">shvaćanju kako je rodna nenormativnost stigmatizirana, što može poticati predrasude i diskriminaciju koje pak uzrokuju </w:t>
      </w:r>
      <w:r w:rsidRPr="00E663F4">
        <w:rPr>
          <w:rFonts w:ascii="Times New Roman" w:hAnsi="Times New Roman"/>
          <w:i/>
          <w:sz w:val="24"/>
          <w:szCs w:val="24"/>
        </w:rPr>
        <w:t>manjinski stres</w:t>
      </w:r>
      <w:r w:rsidRPr="00E663F4">
        <w:rPr>
          <w:rFonts w:ascii="Times New Roman" w:hAnsi="Times New Roman"/>
          <w:sz w:val="24"/>
          <w:szCs w:val="24"/>
        </w:rPr>
        <w:t xml:space="preserve"> (Meyer, 2003).  Manjinski stres je jedinstven (pridonosi općim stresorima koji pogađaju sve ljude), društveno uvjetovan i kroničan, a transpolne, transrodne i rodno nenormativne osobe, te članovi njihovih obitelji zbog njega mogu postati podložniji psihičkim tegobama kao što su anksioznost i depresija. Ove psihičke smetnje su uvjetovane društvenim pritiscima, a ne samom rodnom nenormativnošću. </w:t>
      </w:r>
    </w:p>
    <w:p w:rsidR="00D95298" w:rsidRPr="00E663F4" w:rsidRDefault="00D95298" w:rsidP="00617AF9">
      <w:pPr>
        <w:pStyle w:val="Odlomakpopisa"/>
        <w:numPr>
          <w:ilvl w:val="0"/>
          <w:numId w:val="6"/>
        </w:numPr>
        <w:ind w:left="720"/>
        <w:jc w:val="both"/>
        <w:rPr>
          <w:rFonts w:ascii="Times New Roman" w:hAnsi="Times New Roman"/>
          <w:sz w:val="24"/>
          <w:szCs w:val="24"/>
        </w:rPr>
      </w:pPr>
      <w:r w:rsidRPr="00E663F4">
        <w:rPr>
          <w:rFonts w:ascii="Times New Roman" w:hAnsi="Times New Roman"/>
          <w:sz w:val="24"/>
          <w:szCs w:val="24"/>
        </w:rPr>
        <w:t>shvaćanju kako je svrha tretmana pružanje pomoći u propitivanju rodnog identiteta i pronalaženju odgovarajuće rodne uloge (Bockting i Goldberg, 2006). Tretman je u potpunosti individualiziran, a proces se može, ali ne mora, sastojati od prilagodbe rodnoga izražavanja ili tjelesnih prilagodbi.</w:t>
      </w:r>
    </w:p>
    <w:p w:rsidR="00D95298" w:rsidRPr="00E663F4" w:rsidRDefault="00D95298" w:rsidP="00617AF9">
      <w:pPr>
        <w:pStyle w:val="Odlomakpopisa"/>
        <w:jc w:val="both"/>
        <w:rPr>
          <w:rFonts w:ascii="Times New Roman" w:hAnsi="Times New Roman"/>
          <w:sz w:val="24"/>
          <w:szCs w:val="24"/>
        </w:rPr>
      </w:pPr>
      <w:r w:rsidRPr="00E663F4">
        <w:rPr>
          <w:rFonts w:ascii="Times New Roman" w:hAnsi="Times New Roman"/>
          <w:sz w:val="24"/>
          <w:szCs w:val="24"/>
        </w:rPr>
        <w:t xml:space="preserve"> </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Pružanje zdravstvene i psihosocijalne skrbi osobama s rodnom disforijom zahtijeva interdisciplinarni pristup. Ove Smjernice predstavljaju fleksibilne kliničke naputke o pružanju skrbi koje će svaki stručnjak prilagođavati individualnim karakteristikama osobe te svom </w:t>
      </w:r>
      <w:r w:rsidRPr="00E663F4">
        <w:rPr>
          <w:rFonts w:ascii="Times New Roman" w:hAnsi="Times New Roman"/>
          <w:sz w:val="24"/>
          <w:szCs w:val="24"/>
        </w:rPr>
        <w:lastRenderedPageBreak/>
        <w:t xml:space="preserve">profesionalnom iskustvu i mogućnostima. Unatoč fleksibilnosti, riječ je o standardima sa svrhom promicanja optimalne skrbi i smjernica za tretman osoba koje proživljavaju rodnu disforiju. Stoga se u klinički pristup osobama koje pate od rodne disforije treba temeljiti na:  </w:t>
      </w:r>
    </w:p>
    <w:p w:rsidR="00D95298" w:rsidRPr="00E663F4" w:rsidRDefault="00D95298" w:rsidP="00617AF9">
      <w:pPr>
        <w:pStyle w:val="Odlomakpopisa"/>
        <w:numPr>
          <w:ilvl w:val="0"/>
          <w:numId w:val="1"/>
        </w:numPr>
        <w:jc w:val="both"/>
        <w:rPr>
          <w:rFonts w:ascii="Times New Roman" w:hAnsi="Times New Roman"/>
          <w:sz w:val="24"/>
          <w:szCs w:val="24"/>
        </w:rPr>
      </w:pPr>
      <w:r w:rsidRPr="00E663F4">
        <w:rPr>
          <w:rFonts w:ascii="Times New Roman" w:hAnsi="Times New Roman"/>
          <w:sz w:val="24"/>
          <w:szCs w:val="24"/>
        </w:rPr>
        <w:t>suvremenom znanstveno utemeljenom pristupu zdravstvenoj i psihosocijalnoj skrbi, a ne osobnom svjetonazoru</w:t>
      </w:r>
    </w:p>
    <w:p w:rsidR="00D95298" w:rsidRPr="00E663F4" w:rsidRDefault="00D95298" w:rsidP="00617AF9">
      <w:pPr>
        <w:pStyle w:val="Odlomakpopisa"/>
        <w:numPr>
          <w:ilvl w:val="0"/>
          <w:numId w:val="1"/>
        </w:numPr>
        <w:jc w:val="both"/>
        <w:rPr>
          <w:rFonts w:ascii="Times New Roman" w:hAnsi="Times New Roman"/>
          <w:sz w:val="24"/>
          <w:szCs w:val="24"/>
        </w:rPr>
      </w:pPr>
      <w:r w:rsidRPr="00E663F4">
        <w:rPr>
          <w:rFonts w:ascii="Times New Roman" w:hAnsi="Times New Roman"/>
          <w:sz w:val="24"/>
          <w:szCs w:val="24"/>
        </w:rPr>
        <w:t xml:space="preserve">uvažavanju i nepatologiziranju razlika u rodnom identitetu; </w:t>
      </w:r>
    </w:p>
    <w:p w:rsidR="00D95298" w:rsidRPr="00E663F4" w:rsidRDefault="00D95298" w:rsidP="00617AF9">
      <w:pPr>
        <w:pStyle w:val="Odlomakpopisa"/>
        <w:numPr>
          <w:ilvl w:val="0"/>
          <w:numId w:val="1"/>
        </w:numPr>
        <w:jc w:val="both"/>
        <w:rPr>
          <w:rFonts w:ascii="Times New Roman" w:hAnsi="Times New Roman"/>
          <w:sz w:val="24"/>
          <w:szCs w:val="24"/>
        </w:rPr>
      </w:pPr>
      <w:r w:rsidRPr="00E663F4">
        <w:rPr>
          <w:rFonts w:ascii="Times New Roman" w:hAnsi="Times New Roman"/>
          <w:sz w:val="24"/>
          <w:szCs w:val="24"/>
        </w:rPr>
        <w:t>pružanju skrbi na način koji afirmira rodni identitet i ublažava stres rodne disforije;</w:t>
      </w:r>
    </w:p>
    <w:p w:rsidR="00D95298" w:rsidRPr="00E663F4" w:rsidRDefault="00D95298" w:rsidP="00617AF9">
      <w:pPr>
        <w:pStyle w:val="Odlomakpopisa"/>
        <w:numPr>
          <w:ilvl w:val="0"/>
          <w:numId w:val="1"/>
        </w:numPr>
        <w:jc w:val="both"/>
        <w:rPr>
          <w:rFonts w:ascii="Times New Roman" w:hAnsi="Times New Roman"/>
          <w:sz w:val="24"/>
          <w:szCs w:val="24"/>
        </w:rPr>
      </w:pPr>
      <w:r w:rsidRPr="00E663F4">
        <w:rPr>
          <w:rFonts w:ascii="Times New Roman" w:hAnsi="Times New Roman"/>
          <w:sz w:val="24"/>
          <w:szCs w:val="24"/>
        </w:rPr>
        <w:t xml:space="preserve">davanju osoba s rodnom disforijom pravodobnih, provjerenih i znanstveno utemeljenih  informacija o mogućnosti tretmana,  uključujući prednosti i rizike različitih opcija tretmana; </w:t>
      </w:r>
    </w:p>
    <w:p w:rsidR="00D95298" w:rsidRPr="00E663F4" w:rsidRDefault="00D95298" w:rsidP="00617AF9">
      <w:pPr>
        <w:pStyle w:val="Odlomakpopisa"/>
        <w:numPr>
          <w:ilvl w:val="0"/>
          <w:numId w:val="1"/>
        </w:numPr>
        <w:jc w:val="both"/>
        <w:rPr>
          <w:rFonts w:ascii="Times New Roman" w:hAnsi="Times New Roman"/>
          <w:sz w:val="24"/>
          <w:szCs w:val="24"/>
        </w:rPr>
      </w:pPr>
      <w:r w:rsidRPr="00E663F4">
        <w:rPr>
          <w:rFonts w:ascii="Times New Roman" w:hAnsi="Times New Roman"/>
          <w:sz w:val="24"/>
          <w:szCs w:val="24"/>
        </w:rPr>
        <w:t>prilagodbi odabrane metode tretmana specifičnim potrebama osobe s rodnom disforijom, napose njihovom željenom rodnome izražavanju i potrebi za rasterećenjem od rodne disforije;</w:t>
      </w:r>
    </w:p>
    <w:p w:rsidR="00D95298" w:rsidRPr="00E663F4" w:rsidRDefault="00D95298" w:rsidP="00617AF9">
      <w:pPr>
        <w:pStyle w:val="Odlomakpopisa"/>
        <w:numPr>
          <w:ilvl w:val="0"/>
          <w:numId w:val="1"/>
        </w:numPr>
        <w:jc w:val="both"/>
        <w:rPr>
          <w:rFonts w:ascii="Times New Roman" w:hAnsi="Times New Roman"/>
          <w:sz w:val="24"/>
          <w:szCs w:val="24"/>
        </w:rPr>
      </w:pPr>
      <w:r w:rsidRPr="00E663F4">
        <w:rPr>
          <w:rFonts w:ascii="Times New Roman" w:hAnsi="Times New Roman"/>
          <w:sz w:val="24"/>
          <w:szCs w:val="24"/>
        </w:rPr>
        <w:t>omogućavanje pristupa prikladnoj skrbi;</w:t>
      </w:r>
    </w:p>
    <w:p w:rsidR="00D95298" w:rsidRPr="00E663F4" w:rsidRDefault="00D95298" w:rsidP="00617AF9">
      <w:pPr>
        <w:pStyle w:val="Odlomakpopisa"/>
        <w:numPr>
          <w:ilvl w:val="0"/>
          <w:numId w:val="1"/>
        </w:numPr>
        <w:jc w:val="both"/>
        <w:rPr>
          <w:rFonts w:ascii="Times New Roman" w:hAnsi="Times New Roman"/>
          <w:sz w:val="24"/>
          <w:szCs w:val="24"/>
        </w:rPr>
      </w:pPr>
      <w:r w:rsidRPr="00E663F4">
        <w:rPr>
          <w:rFonts w:ascii="Times New Roman" w:hAnsi="Times New Roman"/>
          <w:sz w:val="24"/>
          <w:szCs w:val="24"/>
        </w:rPr>
        <w:t xml:space="preserve">informiranom pristanku prije početka tretmana; </w:t>
      </w:r>
    </w:p>
    <w:p w:rsidR="00D95298" w:rsidRPr="00E663F4" w:rsidRDefault="00D95298" w:rsidP="00617AF9">
      <w:pPr>
        <w:pStyle w:val="Odlomakpopisa"/>
        <w:numPr>
          <w:ilvl w:val="0"/>
          <w:numId w:val="1"/>
        </w:numPr>
        <w:jc w:val="both"/>
        <w:rPr>
          <w:rFonts w:ascii="Times New Roman" w:hAnsi="Times New Roman"/>
          <w:sz w:val="24"/>
          <w:szCs w:val="24"/>
        </w:rPr>
      </w:pPr>
      <w:r w:rsidRPr="00E663F4">
        <w:rPr>
          <w:rFonts w:ascii="Times New Roman" w:hAnsi="Times New Roman"/>
          <w:sz w:val="24"/>
          <w:szCs w:val="24"/>
        </w:rPr>
        <w:t>kontinuiranoj skrbi za osobu i njezinu obitelj;</w:t>
      </w:r>
    </w:p>
    <w:p w:rsidR="00D95298" w:rsidRPr="00E663F4" w:rsidRDefault="00D95298" w:rsidP="00617AF9">
      <w:pPr>
        <w:pStyle w:val="Odlomakpopisa"/>
        <w:numPr>
          <w:ilvl w:val="0"/>
          <w:numId w:val="1"/>
        </w:numPr>
        <w:jc w:val="both"/>
        <w:rPr>
          <w:rFonts w:ascii="Times New Roman" w:hAnsi="Times New Roman"/>
          <w:sz w:val="24"/>
          <w:szCs w:val="24"/>
        </w:rPr>
      </w:pPr>
      <w:r w:rsidRPr="00E663F4">
        <w:rPr>
          <w:rFonts w:ascii="Times New Roman" w:hAnsi="Times New Roman"/>
          <w:sz w:val="24"/>
          <w:szCs w:val="24"/>
        </w:rPr>
        <w:t>spremnosti stručnjaka koji rade s rodno nenormativnim osobama da podržavaju osobe s rodnom disforijim i zalažu se za njih u njihovim obiteljima i okolini (u školama, na radnim mjestima i u drugim sredinama).</w:t>
      </w:r>
    </w:p>
    <w:p w:rsidR="00D95298" w:rsidRPr="00E663F4" w:rsidRDefault="00D95298" w:rsidP="00BF5979">
      <w:pPr>
        <w:pStyle w:val="Naslov1"/>
        <w:rPr>
          <w:rFonts w:ascii="Times New Roman" w:hAnsi="Times New Roman"/>
          <w:sz w:val="24"/>
          <w:szCs w:val="24"/>
        </w:rPr>
      </w:pPr>
      <w:bookmarkStart w:id="7" w:name="_Toc429254714"/>
      <w:bookmarkStart w:id="8" w:name="_Toc431396763"/>
      <w:bookmarkStart w:id="9" w:name="_Toc431396886"/>
      <w:r w:rsidRPr="00E663F4">
        <w:rPr>
          <w:rFonts w:ascii="Times New Roman" w:hAnsi="Times New Roman"/>
          <w:sz w:val="24"/>
          <w:szCs w:val="24"/>
        </w:rPr>
        <w:t>Fenomenologija rodne disforije</w:t>
      </w:r>
      <w:bookmarkEnd w:id="7"/>
      <w:bookmarkEnd w:id="8"/>
      <w:bookmarkEnd w:id="9"/>
    </w:p>
    <w:p w:rsidR="00F561A0" w:rsidRPr="00E663F4" w:rsidRDefault="00F561A0" w:rsidP="00E663F4">
      <w:pPr>
        <w:rPr>
          <w:sz w:val="24"/>
          <w:szCs w:val="24"/>
        </w:rPr>
      </w:pP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Rodna disforija je složen fenomen za čiju je konceptualizaciju primjenjiv biopsihosocijalni model zdravlja i bolesti (de Vries i sur., 2014) ). Prema ovom modelu i u bolesti i u zdravlju sudjeluju biološki, psihološki i socijalni sustavi koji kroz svoja međudjelovanja određuju ishode. U slučaju rodne disforije poremećaj vjerojatno ima biološku etiologiju (Hare i sur., 2009; Meyer-Bahlburg, 2010), no za ishod poremećaja presudna je interakcija socijalnih i psiholoških čimbenika (de Vries i sur., 2014; Drescher, Cohen-Kettenis i Winter, 2012).</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Kako se radi o vrlo složenom fenomenu čija se složenost očituje i u terminima koji se koriste kako bi se opisale biološke, psihološke i socijalne odrednice, te proces promjene spola, u Okviru 1 su navedeni termini koji se koriste u ovom području.</w:t>
      </w:r>
    </w:p>
    <w:p w:rsidR="00D95298" w:rsidRPr="00E663F4" w:rsidRDefault="00D95298" w:rsidP="00617AF9">
      <w:pPr>
        <w:spacing w:after="0"/>
        <w:jc w:val="center"/>
        <w:rPr>
          <w:rFonts w:ascii="Times New Roman" w:hAnsi="Times New Roman"/>
          <w:i/>
          <w:sz w:val="24"/>
          <w:szCs w:val="24"/>
        </w:rPr>
      </w:pPr>
      <w:r w:rsidRPr="00E663F4">
        <w:rPr>
          <w:rFonts w:ascii="Times New Roman" w:hAnsi="Times New Roman"/>
          <w:i/>
          <w:sz w:val="24"/>
          <w:szCs w:val="24"/>
        </w:rPr>
        <w:t>Okvir 1.</w:t>
      </w:r>
    </w:p>
    <w:p w:rsidR="00D95298" w:rsidRPr="00E663F4" w:rsidRDefault="00D95298" w:rsidP="00617AF9">
      <w:pPr>
        <w:spacing w:after="0"/>
        <w:jc w:val="center"/>
        <w:rPr>
          <w:rFonts w:ascii="Times New Roman" w:hAnsi="Times New Roman"/>
          <w:sz w:val="24"/>
          <w:szCs w:val="24"/>
        </w:rPr>
      </w:pPr>
      <w:r w:rsidRPr="00E663F4">
        <w:rPr>
          <w:rFonts w:ascii="Times New Roman" w:hAnsi="Times New Roman"/>
          <w:sz w:val="24"/>
          <w:szCs w:val="24"/>
        </w:rPr>
        <w:t>Termini važni za razumijevanje rodne disforije</w:t>
      </w:r>
    </w:p>
    <w:p w:rsidR="00D95298" w:rsidRPr="00E663F4" w:rsidRDefault="00D95298" w:rsidP="00617AF9">
      <w:pPr>
        <w:spacing w:after="0"/>
        <w:jc w:val="center"/>
        <w:rPr>
          <w:rFonts w:ascii="Times New Roman" w:hAnsi="Times New Roman"/>
          <w:sz w:val="24"/>
          <w:szCs w:val="24"/>
        </w:rPr>
      </w:pPr>
      <w:r w:rsidRPr="00E663F4">
        <w:rPr>
          <w:rFonts w:ascii="Times New Roman" w:hAnsi="Times New Roman"/>
          <w:sz w:val="24"/>
          <w:szCs w:val="24"/>
        </w:rPr>
        <w:t>(preuzeto iz Standarda skrbi za zdravlje transpolnih, transrodnih i rodno nenormativnih osoba, sedma verzija (Coleman i sur., 2012))</w:t>
      </w:r>
    </w:p>
    <w:p w:rsidR="00D95298" w:rsidRPr="00E663F4" w:rsidRDefault="00D95298" w:rsidP="00617AF9">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 xml:space="preserve">FtM (eng.female-to-Male) ili  Transmušakarac </w:t>
            </w:r>
          </w:p>
          <w:p w:rsidR="00D95298" w:rsidRPr="00E663F4" w:rsidRDefault="00D95298" w:rsidP="00C627C1">
            <w:pPr>
              <w:spacing w:after="0" w:line="240" w:lineRule="auto"/>
              <w:jc w:val="both"/>
              <w:rPr>
                <w:rFonts w:ascii="Times New Roman" w:hAnsi="Times New Roman"/>
                <w:i/>
                <w:iCs/>
                <w:sz w:val="24"/>
                <w:szCs w:val="24"/>
              </w:rPr>
            </w:pP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 xml:space="preserve">pojam kojim se opisuju osobe kojima je pri rođenju pripisan ženski spol, a koje prilagođavaju ili su prilagodile svoje tijelo i/ili rodnu ulogu iz pri rođenju pripisanoga ženskoga prema muževnijem tijelu ili rodnoj </w:t>
            </w:r>
            <w:r w:rsidRPr="00E663F4">
              <w:rPr>
                <w:rFonts w:ascii="Times New Roman" w:hAnsi="Times New Roman"/>
                <w:i/>
                <w:iCs/>
                <w:sz w:val="24"/>
                <w:szCs w:val="24"/>
              </w:rPr>
              <w:lastRenderedPageBreak/>
              <w:t>ulozi.</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lastRenderedPageBreak/>
              <w:t>Internalizirana transfobija</w:t>
            </w:r>
          </w:p>
          <w:p w:rsidR="00D95298" w:rsidRPr="00E663F4" w:rsidRDefault="00D95298" w:rsidP="00C627C1">
            <w:pPr>
              <w:spacing w:after="0" w:line="240" w:lineRule="auto"/>
              <w:jc w:val="both"/>
              <w:rPr>
                <w:rFonts w:ascii="Times New Roman" w:hAnsi="Times New Roman"/>
                <w:i/>
                <w:iCs/>
                <w:sz w:val="24"/>
                <w:szCs w:val="24"/>
              </w:rPr>
            </w:pP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neprihvaćanje vlastitih transrodnih osjećaja ili identiteta uzrokovano internalizacijom društvenih rodnih normi.</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MtF (engl. Male-to-Female) ili Transžena</w:t>
            </w:r>
          </w:p>
          <w:p w:rsidR="00D95298" w:rsidRPr="00E663F4" w:rsidRDefault="00D95298" w:rsidP="00C627C1">
            <w:pPr>
              <w:spacing w:after="0" w:line="240" w:lineRule="auto"/>
              <w:jc w:val="both"/>
              <w:rPr>
                <w:rFonts w:ascii="Times New Roman" w:hAnsi="Times New Roman"/>
                <w:i/>
                <w:iCs/>
                <w:sz w:val="24"/>
                <w:szCs w:val="24"/>
              </w:rPr>
            </w:pP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pojam kojim se opisuju osobe kojima je pri rođenju pripisan muški spol, a koje prilagođavaju ili su prilagodile svoje tijelo i/ili rodnu ulogu iz pri rođenju pripisanoga muškoga prema ženstvenijem tijelu ili rodnoj ulozi.</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 xml:space="preserve">Operacija prilagodbe spola </w:t>
            </w:r>
          </w:p>
          <w:p w:rsidR="00D95298" w:rsidRPr="00E663F4" w:rsidRDefault="00D95298" w:rsidP="00C627C1">
            <w:pPr>
              <w:spacing w:after="0" w:line="240" w:lineRule="auto"/>
              <w:jc w:val="both"/>
              <w:rPr>
                <w:rFonts w:ascii="Times New Roman" w:hAnsi="Times New Roman"/>
                <w:i/>
                <w:iCs/>
                <w:sz w:val="24"/>
                <w:szCs w:val="24"/>
              </w:rPr>
            </w:pP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kirurški zahvati za prilagodbu primarnih i/ili sekundarnih spolnih karakteristika neke osobe koji se obavljaju kako bi se afirmirao njen rodni identitet. Operacija prilagodbe spola može biti važan dio medicinski nužnoga tretmana za ublažavanje rodne disforije.</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 xml:space="preserve">Rodna uloga ili rodno izražavanje </w:t>
            </w:r>
          </w:p>
          <w:p w:rsidR="00D95298" w:rsidRPr="00E663F4" w:rsidRDefault="00D95298" w:rsidP="00C627C1">
            <w:pPr>
              <w:spacing w:after="0" w:line="240" w:lineRule="auto"/>
              <w:jc w:val="both"/>
              <w:rPr>
                <w:rFonts w:ascii="Times New Roman" w:hAnsi="Times New Roman"/>
                <w:i/>
                <w:iCs/>
                <w:sz w:val="24"/>
                <w:szCs w:val="24"/>
              </w:rPr>
            </w:pPr>
          </w:p>
          <w:p w:rsidR="00D95298" w:rsidRPr="00E663F4" w:rsidRDefault="00D95298" w:rsidP="00C627C1">
            <w:pPr>
              <w:spacing w:after="0" w:line="240" w:lineRule="auto"/>
              <w:jc w:val="both"/>
              <w:rPr>
                <w:rFonts w:ascii="Times New Roman" w:hAnsi="Times New Roman"/>
                <w:i/>
                <w:iCs/>
                <w:sz w:val="24"/>
                <w:szCs w:val="24"/>
              </w:rPr>
            </w:pP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karakteristike ličnosti, izgleda i ponašanja koje se u određenoj kulturi i povijesnome periodu određuju kao muževne ili ženstvene (dakle, tipične za mušku ili žensku socijalnu ulogu) (Ruble, Martin i Berenbaum, 2006). Iako se većina pojedinki i pojedinaca u društvu predstavlja u nedvojbeno muževnoj ili ženstvenoj rodnoj ulozi, neki se ljudi predstavljaju u alternativnim rodovima. Svi ljudi obično inkorporiraju i muževne i ženstvene karakteristike u svoje rodno izražavanje na različite načine i u različitim omjerima (Bockting, 2008).</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 xml:space="preserve">Rodni identitet </w:t>
            </w:r>
          </w:p>
          <w:p w:rsidR="00D95298" w:rsidRPr="00E663F4" w:rsidRDefault="00D95298" w:rsidP="00C627C1">
            <w:pPr>
              <w:spacing w:after="0" w:line="240" w:lineRule="auto"/>
              <w:jc w:val="both"/>
              <w:rPr>
                <w:rFonts w:ascii="Times New Roman" w:hAnsi="Times New Roman"/>
                <w:i/>
                <w:iCs/>
                <w:sz w:val="24"/>
                <w:szCs w:val="24"/>
              </w:rPr>
            </w:pP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čovjekov intrinzični osjećaj da je muško (dječak ili muškarac), žensko (djevojčica ili žena) ili nekoga alternativnoga rodnoga identiteta.</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Rodno nenormativno</w:t>
            </w:r>
          </w:p>
          <w:p w:rsidR="00D95298" w:rsidRPr="00E663F4" w:rsidRDefault="00D95298" w:rsidP="00C627C1">
            <w:pPr>
              <w:spacing w:after="0" w:line="240" w:lineRule="auto"/>
              <w:jc w:val="both"/>
              <w:rPr>
                <w:rFonts w:ascii="Times New Roman" w:hAnsi="Times New Roman"/>
                <w:i/>
                <w:iCs/>
                <w:sz w:val="24"/>
                <w:szCs w:val="24"/>
              </w:rPr>
            </w:pP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pridjev kojim se opisuju osobe čiji se rodni identitet, rodna uloga ili rodno izražavanje razlikuju od onoga što je u određenoj kulturi i određenom povijesnom periodu normativno za spol koji im je pripisan.</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 xml:space="preserve">Rodna disforija </w:t>
            </w:r>
          </w:p>
          <w:p w:rsidR="00D95298" w:rsidRPr="00E663F4" w:rsidRDefault="00D95298" w:rsidP="00C627C1">
            <w:pPr>
              <w:spacing w:after="0" w:line="240" w:lineRule="auto"/>
              <w:jc w:val="both"/>
              <w:rPr>
                <w:rFonts w:ascii="Times New Roman" w:hAnsi="Times New Roman"/>
                <w:i/>
                <w:iCs/>
                <w:sz w:val="24"/>
                <w:szCs w:val="24"/>
              </w:rPr>
            </w:pP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stres uzrokovan nepoklapanjem rodnoga identiteta neke osobe i spola koji joj je pripisan pri rođenju (skupa s povezanom rodnom ulogom i/ili sekundarnim spolnim karakteristikama); dijagnostička kategorija u DSM-5 (u prethodnoj verziji DSM-a koristio se termin Poremećaj rodnog identiteta)</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Seksualna orijentacija</w:t>
            </w: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 xml:space="preserve">emocionalna, seksualna, romantična privlačnost prema muškarcima i/ili ženama. Kako bi se izbjegla terminološka zbrka seksualna orijentacija transpolnih osoba se opisuje spolom osobe koja predstavlja izvor </w:t>
            </w:r>
            <w:r w:rsidRPr="00E663F4">
              <w:rPr>
                <w:rFonts w:ascii="Times New Roman" w:hAnsi="Times New Roman"/>
                <w:i/>
                <w:iCs/>
                <w:sz w:val="24"/>
                <w:szCs w:val="24"/>
              </w:rPr>
              <w:lastRenderedPageBreak/>
              <w:t>seksualne privlačnosti (npr. privlače ih muškarci)</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lastRenderedPageBreak/>
              <w:t>Spol</w:t>
            </w:r>
          </w:p>
          <w:p w:rsidR="00D95298" w:rsidRPr="00E663F4" w:rsidRDefault="00D95298" w:rsidP="00C627C1">
            <w:pPr>
              <w:spacing w:after="0" w:line="240" w:lineRule="auto"/>
              <w:jc w:val="both"/>
              <w:rPr>
                <w:rFonts w:ascii="Times New Roman" w:hAnsi="Times New Roman"/>
                <w:i/>
                <w:iCs/>
                <w:sz w:val="24"/>
                <w:szCs w:val="24"/>
              </w:rPr>
            </w:pP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spol se osobi pripisuje pri rođenju kao muški ili ženski, ovisno o izgledu vanjskih genitalija. U slučaju ambigvitetnih genitalija, da bi se spol pripisao, u obzir se uzimaju druge komponente spola (unutarnje genitalije, kromosomski i hormonski spol). Kod većine ljudi su rodni identitet i izražavanje konzistentni sa spolom koji im je pripisan pri rođenju. Kod transpolnih, transrodnih i rodno nenormativnih osoba, rodni identitet ili izražavanje razlikuju se od spola koji im je pripisan pri rođenju.</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 xml:space="preserve">Transpolni/e </w:t>
            </w:r>
          </w:p>
          <w:p w:rsidR="00D95298" w:rsidRPr="00E663F4" w:rsidRDefault="00D95298" w:rsidP="00C627C1">
            <w:pPr>
              <w:spacing w:after="0" w:line="240" w:lineRule="auto"/>
              <w:jc w:val="both"/>
              <w:rPr>
                <w:rFonts w:ascii="Times New Roman" w:hAnsi="Times New Roman"/>
                <w:i/>
                <w:iCs/>
                <w:sz w:val="24"/>
                <w:szCs w:val="24"/>
              </w:rPr>
            </w:pP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pridjev kojim se opisuju osobe koje žele prilagoditi ili su već prilagodile svoje primarne i/ili sekundarne spolne karakteristike feminizirajućim ili maskulinizirajućim medicinskim intervencijama (hormonima i/ili kirurgijom), najčešće uz permanentnu prilagodbu rodne uloge.</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 xml:space="preserve">Transrodne/i </w:t>
            </w:r>
          </w:p>
          <w:p w:rsidR="00D95298" w:rsidRPr="00E663F4" w:rsidRDefault="00D95298" w:rsidP="00C627C1">
            <w:pPr>
              <w:spacing w:after="0" w:line="240" w:lineRule="auto"/>
              <w:jc w:val="both"/>
              <w:rPr>
                <w:rFonts w:ascii="Times New Roman" w:hAnsi="Times New Roman"/>
                <w:i/>
                <w:iCs/>
                <w:sz w:val="24"/>
                <w:szCs w:val="24"/>
              </w:rPr>
            </w:pP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pridjev kojim se opisuje raznolika skupina ljudi koji prekoračuju ili nadilaze kulturno definirane kategorije roda. Rodni identitet transrodnih osoba u različitim se stupnjevima razlikuje od spola koji im je pripisan pri rođenju (Bockting, 1999).</w:t>
            </w:r>
          </w:p>
        </w:tc>
      </w:tr>
      <w:tr w:rsidR="00D95298" w:rsidRPr="00E14F68" w:rsidTr="00C627C1">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Tranzicija</w:t>
            </w:r>
          </w:p>
        </w:tc>
        <w:tc>
          <w:tcPr>
            <w:tcW w:w="4644" w:type="dxa"/>
          </w:tcPr>
          <w:p w:rsidR="00D95298" w:rsidRPr="00E663F4" w:rsidRDefault="00D95298" w:rsidP="00C627C1">
            <w:pPr>
              <w:spacing w:after="0" w:line="240" w:lineRule="auto"/>
              <w:jc w:val="both"/>
              <w:rPr>
                <w:rFonts w:ascii="Times New Roman" w:hAnsi="Times New Roman"/>
                <w:i/>
                <w:iCs/>
                <w:sz w:val="24"/>
                <w:szCs w:val="24"/>
              </w:rPr>
            </w:pPr>
            <w:r w:rsidRPr="00E663F4">
              <w:rPr>
                <w:rFonts w:ascii="Times New Roman" w:hAnsi="Times New Roman"/>
                <w:i/>
                <w:iCs/>
                <w:sz w:val="24"/>
                <w:szCs w:val="24"/>
              </w:rPr>
              <w:t>Razdoblje u kojem osobe prelaze iz rodne uloge povezane sa spolom koji im je pripisan pri rođenju u neku drukčiju rodnu ulogu. Mnoge osobe tijekom toga perioda uče kako društveno živjeti u drukčijoj rodnoj ulozi. Drugi/e će u tom periodu naći rodnu ulogu i izražavanje kojima će biti najzadovoljniji/e. Tranzicija se može i ne mora sastojati od feminizacije ili maskulinizacije tijela hormonima ili nekim drugim medicinskim postupcima. Narav i trajanje tranzicije variraju od osobe do osobe.</w:t>
            </w:r>
          </w:p>
        </w:tc>
      </w:tr>
    </w:tbl>
    <w:p w:rsidR="00D95298" w:rsidRPr="00E663F4" w:rsidRDefault="00D95298" w:rsidP="00617AF9">
      <w:pPr>
        <w:jc w:val="both"/>
        <w:rPr>
          <w:rStyle w:val="Neupadljivoisticanje"/>
          <w:rFonts w:ascii="Times New Roman" w:hAnsi="Times New Roman"/>
          <w:sz w:val="24"/>
          <w:szCs w:val="24"/>
        </w:rPr>
      </w:pP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Studije koje se bave bihevioralnom genetikom upućuju da rodna disforija ima značajnu nasljednu komponentu (Coolidge, Thede i Young, 2002). Neurohormonalna istraživanja sve više potvrđuju hipotezu kako se etiološki radi o poremećaju u prenatalnoj spolnoj diferencijaciji mozga (Kruijver i sur.; 2000; Bao i Swab, 2011), koja dovodi do morfološki različitih mozgovnih struktura odgovornih za kasniji razvoj rodnog identiteta (Kruijver i sur., 2000; Bao i Swaab, 2011), iako su u razjašnjavanju neurobiologije rodne disforije nužna daljnja istraživanja (Erickson-Schroth, 2013). </w:t>
      </w:r>
    </w:p>
    <w:p w:rsidR="00D95298" w:rsidRPr="00E663F4" w:rsidRDefault="00D95298" w:rsidP="00617AF9">
      <w:pPr>
        <w:jc w:val="both"/>
        <w:rPr>
          <w:rStyle w:val="Neupadljivoisticanje"/>
          <w:rFonts w:ascii="Times New Roman" w:hAnsi="Times New Roman"/>
          <w:i w:val="0"/>
          <w:color w:val="auto"/>
          <w:sz w:val="24"/>
          <w:szCs w:val="24"/>
        </w:rPr>
      </w:pPr>
      <w:r w:rsidRPr="00E663F4">
        <w:rPr>
          <w:rStyle w:val="Neupadljivoisticanje"/>
          <w:rFonts w:ascii="Times New Roman" w:hAnsi="Times New Roman"/>
          <w:i w:val="0"/>
          <w:color w:val="auto"/>
          <w:sz w:val="24"/>
          <w:szCs w:val="24"/>
        </w:rPr>
        <w:lastRenderedPageBreak/>
        <w:t xml:space="preserve">Utjecaj psiholoških i socijalnih etioloških čimbenika nije do kraja razjašnjen, no i oni svakako imaju ulogu u održavanju rodne disforije. Rodna disforija se može javiti u ranom djetinjstvu, iako nema kvalitetnih epidemioloških podataka o djeci koja pokazuju rodno nespecifična ponašanja, niti rodne disforije. Procjena se najčešće temelji na broju onih koji su se javili za pomoć, što naravno ovisi o osjetljivosti roditelja za prepoznavanje teškoća kod djece, postajanje specijaliziranih centara i slično. Rezultati istraživanja provedenih u Kanadi i SAD-u pokazuju da među općom populacijom dječaka starom od 4-11 godina oko 5% se ponaša na rodno nespecifičan način, a oko 1% izražava želju da bude drugog spola. Oko 11% djevojčica te dobi se ponašana na rodno nespecifičan način, a oko 3% izražava želju da budu dječaci (Zucker, Bradley i Sanikhani, 1997).  U kliničkim uzorcima djece na jednu prijavljenu djevojčicu s ovim poremećajem dolazi pet dječaka (DSM-IV, 1996).  </w:t>
      </w:r>
    </w:p>
    <w:p w:rsidR="00D95298" w:rsidRPr="00E663F4" w:rsidRDefault="00D95298" w:rsidP="00617AF9">
      <w:pPr>
        <w:jc w:val="both"/>
        <w:rPr>
          <w:rStyle w:val="Neupadljivoisticanje"/>
          <w:rFonts w:ascii="Times New Roman" w:hAnsi="Times New Roman"/>
          <w:i w:val="0"/>
          <w:color w:val="auto"/>
          <w:sz w:val="24"/>
          <w:szCs w:val="24"/>
        </w:rPr>
      </w:pPr>
      <w:r w:rsidRPr="00E663F4">
        <w:rPr>
          <w:rStyle w:val="Neupadljivoisticanje"/>
          <w:rFonts w:ascii="Times New Roman" w:hAnsi="Times New Roman"/>
          <w:i w:val="0"/>
          <w:color w:val="auto"/>
          <w:sz w:val="24"/>
          <w:szCs w:val="24"/>
        </w:rPr>
        <w:t>Istraživanja pokazuju kako će se kod svega 6-23% dječaka s rodnom disforijom ona zadržati u adolescenciji i odrasloj dobi (Cohen-Kettenis i Gooren, 1999; Coolidge, Thede i Young, 2002). Pritom će se ove osobe češće samoidentificirati kao homoseksualne nego kao transrodne. Novija istraživanja koja su obuhvatila i djevojčice pokazuju da se kod njih 12-27% rodne disforije zadržava u odrasloj dobi (Drummond i sur., 2008; Wallien i Cohen-Kettenis, 2008). Još uvijek nema odgovora na pitanje koji su rizični čimbenici koji održavaju rodnu disforiju do odrasle dobi, i još važnije, koji su to čimbenici koji dovode do usklađivanja spolnog i rodnog identiteta. Vjerojatno odgojni postupci i odnos okoline imaju značajnu ulogu.</w:t>
      </w:r>
    </w:p>
    <w:p w:rsidR="00D95298" w:rsidRPr="00E663F4" w:rsidRDefault="00D95298" w:rsidP="00617AF9">
      <w:pPr>
        <w:jc w:val="both"/>
        <w:rPr>
          <w:rStyle w:val="Neupadljivoisticanje"/>
          <w:rFonts w:ascii="Times New Roman" w:hAnsi="Times New Roman"/>
          <w:i w:val="0"/>
          <w:color w:val="auto"/>
          <w:sz w:val="24"/>
          <w:szCs w:val="24"/>
        </w:rPr>
      </w:pPr>
      <w:r w:rsidRPr="00E663F4">
        <w:rPr>
          <w:rStyle w:val="Neupadljivoisticanje"/>
          <w:rFonts w:ascii="Times New Roman" w:hAnsi="Times New Roman"/>
          <w:i w:val="0"/>
          <w:color w:val="auto"/>
          <w:sz w:val="24"/>
          <w:szCs w:val="24"/>
        </w:rPr>
        <w:t xml:space="preserve">Istraživanja su pokazala da djeca koja pokazuju rodno nespecifična ponašanja imaju znakove opće ranjivosti u vidu plašljivog temperamenta (Wallien, Cohen-Kettenis, 2008). Vjerojatno ova djeca zbog toga češće dobivaju dijagnozu nekog internaliziranog poremećaja, a poremećaj rodnog identiteta ostaje neprepoznat (Lev, 2004). </w:t>
      </w:r>
      <w:r w:rsidRPr="00E663F4">
        <w:rPr>
          <w:rFonts w:ascii="Times New Roman" w:hAnsi="Times New Roman"/>
          <w:sz w:val="24"/>
          <w:szCs w:val="24"/>
        </w:rPr>
        <w:t xml:space="preserve">Čini se da je prevalencija poremećaja iz autističnoga spektra viša kod rodno disforične djece upućene u kliniku nego kod opće populacije (de Vries i sur., 2010a). </w:t>
      </w:r>
      <w:r w:rsidRPr="00E663F4">
        <w:rPr>
          <w:rStyle w:val="Neupadljivoisticanje"/>
          <w:rFonts w:ascii="Times New Roman" w:hAnsi="Times New Roman"/>
          <w:i w:val="0"/>
          <w:color w:val="auto"/>
          <w:sz w:val="24"/>
          <w:szCs w:val="24"/>
        </w:rPr>
        <w:t xml:space="preserve">Stoga u kliničkoj praksi treba posebnu pažnju usmjeriti ka utvrđivanju djetetova rodnog identiteta, te utvrditi socijalne reakcije na njegovo ponašanje. Odnos vršnjaka se pokazao posebno prediktivnim čimbenikom za mentalno zdravlje djeteta, prediktivniji nego odnos s roditeljima (Wallien i Cohen-Kettenis, 2008). Iz ovog nalaza slijede praktične implikacije za roditelje i odgajatelje koje govore o potrebi da se kod ove djece dodatno radi na razvoju socijalnih kompetencija jer će im to omogućiti bolje odnose s vršnjacima, koji su zaštitni za mentalno zdravlje. </w:t>
      </w:r>
    </w:p>
    <w:p w:rsidR="00D95298" w:rsidRPr="00E663F4" w:rsidRDefault="00D95298" w:rsidP="00617AF9">
      <w:pPr>
        <w:jc w:val="both"/>
        <w:rPr>
          <w:rStyle w:val="Neupadljivoisticanje"/>
          <w:rFonts w:ascii="Times New Roman" w:hAnsi="Times New Roman"/>
          <w:i w:val="0"/>
          <w:color w:val="auto"/>
          <w:sz w:val="24"/>
          <w:szCs w:val="24"/>
        </w:rPr>
      </w:pPr>
      <w:r w:rsidRPr="00E663F4">
        <w:rPr>
          <w:rStyle w:val="Neupadljivoisticanje"/>
          <w:rFonts w:ascii="Times New Roman" w:hAnsi="Times New Roman"/>
          <w:i w:val="0"/>
          <w:color w:val="auto"/>
          <w:sz w:val="24"/>
          <w:szCs w:val="24"/>
        </w:rPr>
        <w:t xml:space="preserve">Ako se rodna disforija tijekom djetinjstva intenzivira i nastavi kroz adolescenciju, tada je gotovo sigurno da će se ona zadržati i u odrasloj dobi (Coleman i sur., 2012). Zanimljiv je nalaz da se kod </w:t>
      </w:r>
      <w:r w:rsidRPr="00E663F4">
        <w:rPr>
          <w:rFonts w:ascii="Times New Roman" w:hAnsi="Times New Roman"/>
          <w:sz w:val="24"/>
          <w:szCs w:val="24"/>
        </w:rPr>
        <w:t xml:space="preserve">rodno disforičnih adolescenata upućenih u tretman, omjer muškoga i ženskoga spola približava 1:1 (Cohen-Kettenis i Pfäfflin, 2003). </w:t>
      </w:r>
      <w:r w:rsidRPr="00E663F4">
        <w:rPr>
          <w:rStyle w:val="Neupadljivoisticanje"/>
          <w:rFonts w:ascii="Times New Roman" w:hAnsi="Times New Roman"/>
          <w:i w:val="0"/>
          <w:color w:val="auto"/>
          <w:sz w:val="24"/>
          <w:szCs w:val="24"/>
        </w:rPr>
        <w:t>Dosadašnja iskustva u specijaliziranim centrima upućuju da su svi adolescenti koji su bili uključeni u hormonalni tretman obavili i operaciju  prilagodbe spolnih obilježja (de Vries i sur., 2010b). Istraživanja su pokazala da adolescenti koji su kandidati za operativne zahvate imaju manje psihičkih smetnji nego odrasle osobe koje se pripremaju za operativne zahvate (deVries i sur., 2011). Ovaj nalaz je iznimno važan jer upućuje da se pravodobnim tretmanom može spriječiti pojava psihijatrijskih poremećaja i poboljšati opća kvalitetu života (Spack i sur., 2012).</w:t>
      </w:r>
    </w:p>
    <w:p w:rsidR="00D95298" w:rsidRPr="00E663F4" w:rsidRDefault="00D95298" w:rsidP="00617AF9">
      <w:pPr>
        <w:jc w:val="both"/>
        <w:rPr>
          <w:rStyle w:val="Neupadljivoisticanje"/>
          <w:rFonts w:ascii="Times New Roman" w:hAnsi="Times New Roman"/>
          <w:i w:val="0"/>
          <w:color w:val="auto"/>
          <w:sz w:val="24"/>
          <w:szCs w:val="24"/>
        </w:rPr>
      </w:pPr>
      <w:r w:rsidRPr="00E663F4">
        <w:rPr>
          <w:rStyle w:val="Neupadljivoisticanje"/>
          <w:rFonts w:ascii="Times New Roman" w:hAnsi="Times New Roman"/>
          <w:i w:val="0"/>
          <w:color w:val="auto"/>
          <w:sz w:val="24"/>
          <w:szCs w:val="24"/>
        </w:rPr>
        <w:lastRenderedPageBreak/>
        <w:t xml:space="preserve">Većina osoba s rodnom disforijom se javlja po pomoć u odrasloj dobi. Biološki muškarci češće pate od rodne disforije i češće se javljaju po pomoć. Prema nedavno objavljenoj meta-analizi, prevalencija rodne disforije je 4.6 na 100.000 bioloških žena i 6.8 na 100.000 bioloških muškaraca (Arcelus i sur., 2015), no brojke se temelje samo na onima koji su bili uključeni u proces tranzicije (usklađivanja tjelesnih spolnih obilježja rodnom identitetu). Kako je većina istraživanja o vrstama i uspješnosti tretmana uključivala transpolne osobe, dakle one koje osjećaju snažnu rodnu disforiju i potrebu za usklađivanjem tjelesnih karakteristika rodnom identitetu, daljnji tekst će se odnositi na njih. </w:t>
      </w:r>
    </w:p>
    <w:p w:rsidR="00D95298" w:rsidRPr="00E663F4" w:rsidRDefault="00D95298" w:rsidP="00617AF9">
      <w:pPr>
        <w:jc w:val="both"/>
        <w:rPr>
          <w:rStyle w:val="Neupadljivoisticanje"/>
          <w:rFonts w:ascii="Times New Roman" w:hAnsi="Times New Roman"/>
          <w:i w:val="0"/>
          <w:color w:val="auto"/>
          <w:sz w:val="24"/>
          <w:szCs w:val="24"/>
        </w:rPr>
      </w:pPr>
      <w:r w:rsidRPr="00E663F4">
        <w:rPr>
          <w:rStyle w:val="Neupadljivoisticanje"/>
          <w:rFonts w:ascii="Times New Roman" w:hAnsi="Times New Roman"/>
          <w:i w:val="0"/>
          <w:color w:val="auto"/>
          <w:sz w:val="24"/>
          <w:szCs w:val="24"/>
        </w:rPr>
        <w:t>Istraživanja pokazuju brojne razlike u psihološkim i socijalnim karakteristikama bioloških žena koje pate od rodne disforije (u daljnjem tekstu transmuškarci) u odnosu na biološke muškarce s rodnom disforijom (u daljnjem tekstu transžene) (Coussinoux i sur., 2005; Herman-Jeglinska, Grabowska i Dulko, 2002; Smith i sur., 2005). Transmuškarci predstavljaju relativno homogenu skupinu (De Cuypere i Gijs, 2014). Oni u najvećem broju slučajeva izvještavaju o rodnoj nekonformnosti koja se očitovala već od najranijeg djetinjstva uz snažnu želju za usklađivanjem spolnih obilježja, prije svega uklanjanjem dojki (Chivers i Bailey, 2000). Istraživanja konzistento govore kako je većina transmuškaraca emocionalno stabilna, urednog socijalnog funkcioniranja, često u stabilnim partnerskim vezama (u pravilu s heteroseksualnim ženama) te prihvaćena od svojih partnerica kao osobe muškog spola. Od djetinjstva su manje izloženi stigmatizaciji u odnosu na transžene, te se očuvanost njihovog mentalnog zdravlja može pripisati manjem društvenom pritisku (Riggs, Ansara i Treharne, 2015; Jokić-Begić i sur., 2008).</w:t>
      </w:r>
    </w:p>
    <w:p w:rsidR="00D95298" w:rsidRPr="00E663F4" w:rsidRDefault="00D95298" w:rsidP="00617AF9">
      <w:pPr>
        <w:jc w:val="both"/>
        <w:rPr>
          <w:rStyle w:val="Neupadljivoisticanje"/>
          <w:rFonts w:ascii="Times New Roman" w:hAnsi="Times New Roman"/>
          <w:color w:val="auto"/>
          <w:sz w:val="24"/>
          <w:szCs w:val="24"/>
        </w:rPr>
      </w:pPr>
      <w:r w:rsidRPr="00E663F4">
        <w:rPr>
          <w:rStyle w:val="Neupadljivoisticanje"/>
          <w:rFonts w:ascii="Times New Roman" w:hAnsi="Times New Roman"/>
          <w:i w:val="0"/>
          <w:color w:val="auto"/>
          <w:sz w:val="24"/>
          <w:szCs w:val="24"/>
        </w:rPr>
        <w:t xml:space="preserve">Kod transžena se mogu uočiti dvije podgrupe – s ranim i kasnim javljanjem rodne disforije (Roberts, 2004). Prva podgrupa izvještava o intenzivnoj rodnoj disforiju od ranog djetinjstva, </w:t>
      </w:r>
      <w:r w:rsidRPr="00E663F4">
        <w:rPr>
          <w:rFonts w:ascii="Times New Roman" w:hAnsi="Times New Roman"/>
          <w:sz w:val="24"/>
          <w:szCs w:val="24"/>
        </w:rPr>
        <w:t>želji za promjenom spola u mlađoj dobi, uz uvjerljiviji ženski izgled i psihološki bolje funkcioniranje od transžena s kasnijim javljanjem rodne disforije (Smith i sur., 2005)</w:t>
      </w:r>
      <w:r w:rsidRPr="00E663F4">
        <w:rPr>
          <w:rStyle w:val="Neupadljivoisticanje"/>
          <w:rFonts w:ascii="Times New Roman" w:hAnsi="Times New Roman"/>
          <w:i w:val="0"/>
          <w:color w:val="auto"/>
          <w:sz w:val="24"/>
          <w:szCs w:val="24"/>
        </w:rPr>
        <w:t xml:space="preserve">. Rjeđe ulaze u bračnu zajednicu i rjeđe osjećaju seksualno uzbuđenje prilikom oblačenja ženske odjeće (Davison i Neale, 2004).  Privlače ih heteroseksualni muškarci, prema  homoseksualnim osjećaju odbojnost. Nakon operacije prilagodbe spola zadovoljniji su ishodom i izvještavaju o boljoj kvaliteti života nego skupina transžena koje imaju kasniji početak rodne disforije (Smith i sur., 2005). Rodna disforija u ovoj drugoj skupini počinje tek u adolescenciji ili ranoj odrasloj dobi. </w:t>
      </w:r>
      <w:r w:rsidRPr="00E663F4">
        <w:rPr>
          <w:rFonts w:ascii="Times New Roman" w:hAnsi="Times New Roman"/>
          <w:sz w:val="24"/>
          <w:szCs w:val="24"/>
        </w:rPr>
        <w:t xml:space="preserve"> U odrasloj dobi imaju snažnu potrebu zamišljanja sebe kao žene, uz potrebu života u ženskoj ulozi. Često su u braku ali žele sa svojom partnericom živjeti u lezbijskoj vezi. U ovoj skupini ima više komorbidnih psihopatoloških odstupanja te češće iskazuju nezadovoljstvo i žaljenje nakon operacije prilagodbe spola (Blanchard i sur., 1989; Smith i sur., 2005), iako novija istraživanja ne nalaze razlike u mentalnom zdravlju između ovih dviju podskupina (Heylens i sur., 2014). </w:t>
      </w:r>
      <w:r w:rsidRPr="00E663F4">
        <w:rPr>
          <w:rStyle w:val="Neupadljivoisticanje"/>
          <w:rFonts w:ascii="Times New Roman" w:hAnsi="Times New Roman"/>
          <w:color w:val="auto"/>
          <w:sz w:val="24"/>
          <w:szCs w:val="24"/>
        </w:rPr>
        <w:t xml:space="preserve"> </w:t>
      </w:r>
    </w:p>
    <w:p w:rsidR="00D95298" w:rsidRPr="00E663F4" w:rsidRDefault="00D95298" w:rsidP="00BF5979">
      <w:pPr>
        <w:pStyle w:val="Naslov1"/>
        <w:rPr>
          <w:rStyle w:val="Neupadljivoisticanje"/>
          <w:rFonts w:ascii="Times New Roman" w:hAnsi="Times New Roman"/>
          <w:i w:val="0"/>
          <w:sz w:val="24"/>
          <w:szCs w:val="24"/>
        </w:rPr>
      </w:pPr>
      <w:bookmarkStart w:id="10" w:name="_Toc429254715"/>
      <w:bookmarkStart w:id="11" w:name="_Toc431396764"/>
      <w:bookmarkStart w:id="12" w:name="_Toc431396887"/>
      <w:r w:rsidRPr="00E663F4">
        <w:rPr>
          <w:rStyle w:val="Neupadljivoisticanje"/>
          <w:rFonts w:ascii="Times New Roman" w:hAnsi="Times New Roman"/>
          <w:i w:val="0"/>
          <w:sz w:val="24"/>
          <w:szCs w:val="24"/>
        </w:rPr>
        <w:t>Psihičko zdravlje osoba s rodnom disforijom</w:t>
      </w:r>
      <w:bookmarkEnd w:id="10"/>
      <w:bookmarkEnd w:id="11"/>
      <w:bookmarkEnd w:id="12"/>
    </w:p>
    <w:p w:rsidR="00F561A0" w:rsidRPr="00E663F4" w:rsidRDefault="00F561A0" w:rsidP="00E663F4">
      <w:pPr>
        <w:rPr>
          <w:sz w:val="24"/>
          <w:szCs w:val="24"/>
        </w:rPr>
      </w:pP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Osobe s rodnom disforijom češće pate od niza psihičkih smetnji (Gómez-Gil., 2009; Murad i sur., 2010) koje mogu, ali ne moraju, biti povezane s počesto dugotrajnim iskustvom rodne </w:t>
      </w:r>
      <w:r w:rsidRPr="00E663F4">
        <w:rPr>
          <w:rFonts w:ascii="Times New Roman" w:hAnsi="Times New Roman"/>
          <w:sz w:val="24"/>
          <w:szCs w:val="24"/>
        </w:rPr>
        <w:lastRenderedPageBreak/>
        <w:t xml:space="preserve">disforije i/ili kroničnoga manjinskoga stresa. Odrastanje s rodnom disforijom obilježeno je sramom, niskim samopoštovanjem, depresivnošću i suicidalnim idejama (Garland i sur., 2001; Grossman i D’Augelli, 2007) te djeca i adolescenti s rodnom disforijom imaju češće dijagnosticirane internalizirane i eksternalizirane teškoće u odnosu na djecu iz opće populacije. Oni su vrlo često, zbog svoje različitosti, žrtve nasilja (Lombardi, 2001) i tzv. manjinskog stresa (Nuttbrock i sur.,  2010). U odrasloj se dobi mogu javiti anksioznost, depresija, samoranjavanje i suicidalna ponašanja, dugotrajna izloženost zlostavljanju i zanemarivanju, kompulzivnost, zloupotreba sredstava ovisnosti, seksualni problemi, poremećaji ličnosti, poremećaji hranjenja, psihotični poremećaji i poremećaji iz autističnog spektra (Bockting, Knudson i Goldberg, 2006; Nuttbrock i sur., 2010; Robinow, 2009). U nedavno provedenom multicentričnom europskom istraživanju utvrđeno je da među osobama koje su se javile zbog rodne disforije ima oko 38% s komorbidnim psihičkim smetnjama, od čega 1.5% sa znacima psihotičnog poremećaja,  oko 38% s poremećajima raspoloženja i 17% s anksioznim poremećajima (Heylens i sur. 2014). Iako je komorbiditet između transpolnosti i ostalih psihijatrijskih poremećaja relativno visok danas se smatra kako se psihičke smetnje javljaju kao posljedica niza psihosocijalnih stresova kojima su osobe izložene (Gijs, van der Putten-Bierman i De Cuypere, 2014) i koje povećavaju osobnu ranjivost. Ovome u prilog govori i podatak o bitno nižem stupnju komorbidnih psihičkih poremećaja kod osoba koje su ušle u proces tranzicije u ranoj adolescenciji, uz podršku obitelji i ostale zajednice i bez stresa kojeg bi donio pubertet spola pripisanog pri rođenju (de Vries i sur., 2011, Spack i sur., 2012).   </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Bockting i Coleman (2007) predstavili su model razvoja transrodnog identiteta. U prvom stadiju pojavljuje se osjećaj različitosti od drugih po pitanju rodnog samopoimanja, a uz tu različitost dolaze pripadajući osjećaji srama i otuđenosti. Prihvaćajući različitost, transrodna osoba ulazi u drugi stadij razvoja identiteta u kojoj sama prihvaća svoju transrodnost i obznanjuje je drugima. Reakcije drugih u ovoj su fazi iznimno važne, posebice na samom početku procesa. Pozitivne reakcije umanjuju sram i izolaciju, a negativne ih održavaju ili povećavaju, povećavajući i vjerojatnost negativnih zdravstvenih ishoda. U ovom stadiju transrodne osobe važu rizike rozotkrivanja te to čine pred onima za koje smatraju da će ih prihvatiti i podržati u tom procesu. U nadolazećim stadijima transrodne osobe istražuju svoj transrodni identitet. Povezujući se s drugim transrodnim pojedincima i zajednicom oni istražuju svoj identitet i pronalaze svoj rodni izražaj. Za transpolne to u ovom stadiju najčešće znači početak tranzicije, odnosno posezanje za hormonalnom terapijom i kirurškim modifikacijama. Nakon istraživanja, slijedi stadij intimnosti u kojoj se zadovoljava potreba intimnih odnosa s drugim osobama, a za završni stadij razvoja svojstvena je integracija transrodnog identiteta s ostalim aspektima identiteta, gdje transrodnost postaje integrirani aspekt pojma o sebi. Kroz čitav ovaj proces reakcije okoline će biti od presudnog značaja za mentalno zdravlje. Ovi podaci ukazuju na potrebu pružanja psihosocijalne skrbi članovima obitelji koji su prirodan izvor socijalne podrške i čije reakcije značajno utječu na psihosocijalne i zdravstvene ishode kod transrodnih i transpolnih osoba.</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Iskazivanje transpolnih težnji je često stresan čin za samu osobu, ali gotovo još stresniji za njezine bližnje. Inozemna istraživanja pokazuju da majke i očevi vrlo negativno reagiraju na spoznaju o transpolnosti svoje djece (Grossman i sur., 2006). Više negativnih inicijalnih </w:t>
      </w:r>
      <w:r w:rsidRPr="00E663F4">
        <w:rPr>
          <w:rFonts w:ascii="Times New Roman" w:hAnsi="Times New Roman"/>
          <w:sz w:val="24"/>
          <w:szCs w:val="24"/>
        </w:rPr>
        <w:lastRenderedPageBreak/>
        <w:t xml:space="preserve">reakcija imaju očevi (D'Augelli, 2005). Psihološki gledano, radi se o procesu tugovanja koji prolazi kroz uobičajene faze (nevjerica, ljutnja, suočavanje, prilagodba). Osim toga, dolazi i do restrukturiranja osobnog identiteta – primjerice, majka više nije majka sina, nego kćeri; brat više nema brata nego sestru. Sve ovo izaziva visoku razinu stresa i zahtijeva prilagodbu te čitav proces može trajati i nekoliko godina (Jokić-Begić, 2013). </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Nekada se transpolne osobe odluče za tranziciju tek nakon što su zasnovale obitelj u kojoj su se rodila djeca. Istraživanja pokazuju da će djeca lakše prihvatiti promjenu spola svog roditelja ako su u trenutku promjene bila u ranoj dječjoj dobi. Što su djeca starija to roditeljska promjena spola ima više negativnih posljedica po komunikaciju između roditelja i djece i obiteljske odnose (White i Ettner, 2007). </w:t>
      </w:r>
    </w:p>
    <w:p w:rsidR="00D95298" w:rsidRPr="00E663F4" w:rsidRDefault="00D95298" w:rsidP="00BF5979">
      <w:pPr>
        <w:pStyle w:val="Naslov1"/>
        <w:rPr>
          <w:rFonts w:ascii="Times New Roman" w:hAnsi="Times New Roman"/>
          <w:sz w:val="24"/>
          <w:szCs w:val="24"/>
        </w:rPr>
      </w:pPr>
      <w:bookmarkStart w:id="13" w:name="_Toc429254716"/>
      <w:bookmarkStart w:id="14" w:name="_Toc431396765"/>
      <w:bookmarkStart w:id="15" w:name="_Toc431396888"/>
      <w:r w:rsidRPr="00E663F4">
        <w:rPr>
          <w:rFonts w:ascii="Times New Roman" w:hAnsi="Times New Roman"/>
          <w:sz w:val="24"/>
          <w:szCs w:val="24"/>
        </w:rPr>
        <w:t>Terapijski pristupi rodnoj disforiji</w:t>
      </w:r>
      <w:bookmarkEnd w:id="13"/>
      <w:bookmarkEnd w:id="14"/>
      <w:bookmarkEnd w:id="15"/>
    </w:p>
    <w:p w:rsidR="00F561A0" w:rsidRPr="00E663F4" w:rsidRDefault="00F561A0" w:rsidP="00E663F4">
      <w:pPr>
        <w:rPr>
          <w:sz w:val="24"/>
          <w:szCs w:val="24"/>
        </w:rPr>
      </w:pP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Rodnu disforiju moguće je značajno ublažiti tretmanom (Murad i sur., 2010). Među medicinske tretmane ubrajaju se, primjerice, feminizacija ili maskulinizacija tijela hormonskom terapijom i/ili kirurškim zahvatom. Istraživanja sustavno pokazuju da su ovi tretmani učinkoviti u ublažavanju rodne disforije i poboljšanju kvalitete života transpolnih osoba (Lawrence, 2003; Murad i sur.; 2010; Vujović i sur., 2009; Jokić-Begić, Lauri Korajlija i Jurin, 2014). Neka istraživanja ipak govore o 1-2% osoba koje smatraju kako je operacija bila pogrešna odluka. Uglavnom se radi o transženama s kasnom manifestacijom rodne disforije (Dhejne i sur., 2014). </w:t>
      </w:r>
    </w:p>
    <w:p w:rsidR="00D95298" w:rsidRPr="00E663F4" w:rsidRDefault="00D95298" w:rsidP="009F7720">
      <w:pPr>
        <w:jc w:val="both"/>
        <w:rPr>
          <w:rFonts w:ascii="Times New Roman" w:hAnsi="Times New Roman"/>
          <w:sz w:val="24"/>
          <w:szCs w:val="24"/>
        </w:rPr>
      </w:pPr>
      <w:r w:rsidRPr="00E663F4">
        <w:rPr>
          <w:rFonts w:ascii="Times New Roman" w:hAnsi="Times New Roman"/>
          <w:sz w:val="24"/>
          <w:szCs w:val="24"/>
        </w:rPr>
        <w:t xml:space="preserve">Napredovanjem pružanja skrbi uvidjelo se da, unatoč tome što mnoge osobe trebaju i hormonsku terapiju i kirurške zahvate da bi se ublažila rodna disforija, neke trebaju samo jednu od ovih opcija tretmana, a neke pak nijednu (Bockting i Goldberg, 2006; Bockting, 2008; Lev, 2004). Neke osobe, često uz pomoć psihoterapije, vlastite trans- ili inter-rodne osjećaje integriraju u rodnu ulogu koja im je pripisana pri rođenju i nemaju potrebu za feminizacijom ili maskulinizacijom svojih tijela. Drugima je za ublažavanje rodne disforije dovoljna prilagodba rodne uloge i izražavanja. Preporuka je da tretman rodne disforije bude što je moguće više individualiziran (Coleman i sur., 2012), što dodatno naglašava značaj stručnog savjetovanja tijekom tretmana. </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Jedan od važnijih istraživačkih zadataka u području transrodnosti svakako je i identificiranje čimbenika koji koreliraju s pozitivnim odnosno negativnim posljedicama pojedinog tratmana za postizanje zadovoljstva svojim identitetom. Meta-analiza istraživanja koja su provedena na osobama koje su bile podvrgnute hormonalnim i kirurškim tretmanima upućuju da su najbolji prediktori postoperativne prilagodbe emocionalna stabilnost prije tretmana, razumijevanje ograničenja i posljedica operacije te psihoterapija u kontekstu novouspostavljenog rodnog identiteta (Murad i sur., 2010). Rani početak poremećaja, odsutnost seksualnog uzbuđenja prilikom preoblačenja u odjeću tipičnu za suprotni spol, seksualna orijentacija prema spolu u kojem je transpolna osoba rođena, te slaba seksualna aktivnost prije tretmana su čimbenici koji upućuju na pozitivni ishod kirurškog tretmana (Smith i sur., 2005). </w:t>
      </w:r>
    </w:p>
    <w:p w:rsidR="00D95298" w:rsidRPr="00E663F4" w:rsidRDefault="00D95298" w:rsidP="003B3B81">
      <w:pPr>
        <w:jc w:val="both"/>
        <w:rPr>
          <w:rFonts w:ascii="Times New Roman" w:hAnsi="Times New Roman"/>
          <w:sz w:val="24"/>
          <w:szCs w:val="24"/>
        </w:rPr>
      </w:pPr>
      <w:r w:rsidRPr="00E663F4">
        <w:rPr>
          <w:rFonts w:ascii="Times New Roman" w:hAnsi="Times New Roman"/>
          <w:sz w:val="24"/>
          <w:szCs w:val="24"/>
        </w:rPr>
        <w:lastRenderedPageBreak/>
        <w:t>Psiholozi i liječnici mogu pomoći rodno disforičnim osobama da afirmiraju svoj rodni identitet, istraže različite opcije za izražavanje tog identiteta i donesu odluke o različitim medicinskim tretmanima za ublažavanje rodne disforije.</w:t>
      </w:r>
    </w:p>
    <w:p w:rsidR="00D95298" w:rsidRPr="00E663F4" w:rsidRDefault="00D95298" w:rsidP="00BF5979">
      <w:pPr>
        <w:pStyle w:val="Naslov2"/>
        <w:rPr>
          <w:rFonts w:ascii="Times New Roman" w:hAnsi="Times New Roman"/>
          <w:sz w:val="24"/>
          <w:szCs w:val="24"/>
        </w:rPr>
      </w:pPr>
      <w:bookmarkStart w:id="16" w:name="_Toc429254717"/>
      <w:bookmarkStart w:id="17" w:name="_Toc431396766"/>
      <w:bookmarkStart w:id="18" w:name="_Toc431396889"/>
      <w:r w:rsidRPr="00E663F4">
        <w:rPr>
          <w:rFonts w:ascii="Times New Roman" w:hAnsi="Times New Roman"/>
          <w:sz w:val="24"/>
          <w:szCs w:val="24"/>
        </w:rPr>
        <w:t>Opcije za psihološki i medicinski tretman rodne disforije</w:t>
      </w:r>
      <w:bookmarkEnd w:id="16"/>
      <w:bookmarkEnd w:id="17"/>
      <w:bookmarkEnd w:id="18"/>
    </w:p>
    <w:p w:rsidR="00F561A0" w:rsidRPr="00E663F4" w:rsidRDefault="00F561A0" w:rsidP="00E663F4">
      <w:pPr>
        <w:rPr>
          <w:sz w:val="24"/>
          <w:szCs w:val="24"/>
        </w:rPr>
      </w:pPr>
    </w:p>
    <w:p w:rsidR="00D95298" w:rsidRPr="00E663F4" w:rsidRDefault="00D95298" w:rsidP="003B3B81">
      <w:pPr>
        <w:jc w:val="both"/>
        <w:rPr>
          <w:rFonts w:ascii="Times New Roman" w:hAnsi="Times New Roman"/>
          <w:sz w:val="24"/>
          <w:szCs w:val="24"/>
        </w:rPr>
      </w:pPr>
      <w:r w:rsidRPr="00E663F4">
        <w:rPr>
          <w:rFonts w:ascii="Times New Roman" w:hAnsi="Times New Roman"/>
          <w:sz w:val="24"/>
          <w:szCs w:val="24"/>
        </w:rPr>
        <w:t xml:space="preserve">Osobe koje zatraže zdravstvenu skrb zbog rodne disforije mogu razmotriti niz različitih terapijskih opcija. Broj i tip primjenjivih intervencija, kao i njihov redoslijed, mogu varirati od osobe do osobe (npr. Bockting, Knudson i Goldberg, 2006; Bolin, 1994; Rachlin, 1999; Rachlin, Green i Lombardi, 2008; Rachlin, Hansbury i Pardo, 2010). Opcije tretmana su: </w:t>
      </w:r>
    </w:p>
    <w:p w:rsidR="00D95298" w:rsidRPr="00E663F4" w:rsidRDefault="00D95298" w:rsidP="004B0F44">
      <w:pPr>
        <w:ind w:left="720"/>
        <w:jc w:val="both"/>
        <w:rPr>
          <w:rFonts w:ascii="Times New Roman" w:hAnsi="Times New Roman"/>
          <w:sz w:val="24"/>
          <w:szCs w:val="24"/>
        </w:rPr>
      </w:pPr>
      <w:r w:rsidRPr="00E663F4">
        <w:rPr>
          <w:rFonts w:ascii="Times New Roman" w:hAnsi="Times New Roman"/>
          <w:sz w:val="24"/>
          <w:szCs w:val="24"/>
        </w:rPr>
        <w:t>•</w:t>
      </w:r>
      <w:r w:rsidRPr="00E663F4">
        <w:rPr>
          <w:rFonts w:ascii="Times New Roman" w:hAnsi="Times New Roman"/>
          <w:sz w:val="24"/>
          <w:szCs w:val="24"/>
        </w:rPr>
        <w:tab/>
        <w:t>promjena imena i podatka o spolu na osobnim dokumentima.</w:t>
      </w:r>
    </w:p>
    <w:p w:rsidR="00D95298" w:rsidRPr="00E663F4" w:rsidRDefault="00D95298" w:rsidP="004B0F44">
      <w:pPr>
        <w:ind w:left="720"/>
        <w:jc w:val="both"/>
        <w:rPr>
          <w:rFonts w:ascii="Times New Roman" w:hAnsi="Times New Roman"/>
          <w:sz w:val="24"/>
          <w:szCs w:val="24"/>
        </w:rPr>
      </w:pPr>
      <w:r w:rsidRPr="00E663F4">
        <w:rPr>
          <w:rFonts w:ascii="Times New Roman" w:hAnsi="Times New Roman"/>
          <w:sz w:val="24"/>
          <w:szCs w:val="24"/>
        </w:rPr>
        <w:t>•</w:t>
      </w:r>
      <w:r w:rsidRPr="00E663F4">
        <w:rPr>
          <w:rFonts w:ascii="Times New Roman" w:hAnsi="Times New Roman"/>
          <w:sz w:val="24"/>
          <w:szCs w:val="24"/>
        </w:rPr>
        <w:tab/>
        <w:t>prilagodba rodnoga izražavanja i rodne uloge (što može značiti da osoba dio svoga vremena ili čitavo vrijeme živi u drugoj rodnoj ulozi koja je u skladu s njenim rodnim identitetom);</w:t>
      </w:r>
    </w:p>
    <w:p w:rsidR="00D95298" w:rsidRPr="00E663F4" w:rsidRDefault="00D95298" w:rsidP="004B0F44">
      <w:pPr>
        <w:ind w:left="720"/>
        <w:jc w:val="both"/>
        <w:rPr>
          <w:rFonts w:ascii="Times New Roman" w:hAnsi="Times New Roman"/>
          <w:sz w:val="24"/>
          <w:szCs w:val="24"/>
        </w:rPr>
      </w:pPr>
      <w:r w:rsidRPr="00E663F4">
        <w:rPr>
          <w:rFonts w:ascii="Times New Roman" w:hAnsi="Times New Roman"/>
          <w:sz w:val="24"/>
          <w:szCs w:val="24"/>
        </w:rPr>
        <w:t>•</w:t>
      </w:r>
      <w:r w:rsidRPr="00E663F4">
        <w:rPr>
          <w:rFonts w:ascii="Times New Roman" w:hAnsi="Times New Roman"/>
          <w:sz w:val="24"/>
          <w:szCs w:val="24"/>
        </w:rPr>
        <w:tab/>
        <w:t>psihoterapija (individualna, u paru, s obitelji ili grupna) u svrhu, primjerice, istraživanja rodnoga identiteta, rodne uloge i izražavanja, suočavanja s negativnim utjecajem rodne disforije i stigmatizacije na psihičko zdravlje, ublažavanja internalizirane transfobije, jačanja društvene i vršnjačke podrške, unaprjeđenja doživljaja vlastitoga tijela ili poticanja psihološke otpornosti. glasovna i komunikacijska terapija za razvijanje verbalnih i neverbalnih komunikacijskih vještina koje doprinose osjećaju zadovoljstva u vlastitome rodnome identitetu;</w:t>
      </w:r>
    </w:p>
    <w:p w:rsidR="00D95298" w:rsidRPr="00E663F4" w:rsidRDefault="00D95298" w:rsidP="004B0F44">
      <w:pPr>
        <w:ind w:left="720"/>
        <w:jc w:val="both"/>
        <w:rPr>
          <w:rFonts w:ascii="Times New Roman" w:hAnsi="Times New Roman"/>
          <w:sz w:val="24"/>
          <w:szCs w:val="24"/>
        </w:rPr>
      </w:pPr>
      <w:r w:rsidRPr="00E663F4">
        <w:rPr>
          <w:rFonts w:ascii="Times New Roman" w:hAnsi="Times New Roman"/>
          <w:sz w:val="24"/>
          <w:szCs w:val="24"/>
        </w:rPr>
        <w:t>•</w:t>
      </w:r>
      <w:r w:rsidRPr="00E663F4">
        <w:rPr>
          <w:rFonts w:ascii="Times New Roman" w:hAnsi="Times New Roman"/>
          <w:sz w:val="24"/>
          <w:szCs w:val="24"/>
        </w:rPr>
        <w:tab/>
        <w:t>glasovna i komunikacijska terapija za razvijanje verbalnih i neverbalnih komunikacijskih vještina koje doprinose osjećaju zadovoljstva u vlastitome rodnome identitetu;</w:t>
      </w:r>
    </w:p>
    <w:p w:rsidR="00D95298" w:rsidRPr="00E663F4" w:rsidRDefault="00D95298" w:rsidP="004B0F44">
      <w:pPr>
        <w:ind w:left="720"/>
        <w:jc w:val="both"/>
        <w:rPr>
          <w:rFonts w:ascii="Times New Roman" w:hAnsi="Times New Roman"/>
          <w:sz w:val="24"/>
          <w:szCs w:val="24"/>
        </w:rPr>
      </w:pPr>
      <w:r w:rsidRPr="00E663F4">
        <w:rPr>
          <w:rFonts w:ascii="Times New Roman" w:hAnsi="Times New Roman"/>
          <w:sz w:val="24"/>
          <w:szCs w:val="24"/>
        </w:rPr>
        <w:t>•</w:t>
      </w:r>
      <w:r w:rsidRPr="00E663F4">
        <w:rPr>
          <w:rFonts w:ascii="Times New Roman" w:hAnsi="Times New Roman"/>
          <w:sz w:val="24"/>
          <w:szCs w:val="24"/>
        </w:rPr>
        <w:tab/>
        <w:t>hormonska terapija za feminizaciju ili maskulinizaciju tijela;</w:t>
      </w:r>
    </w:p>
    <w:p w:rsidR="00D95298" w:rsidRPr="00E663F4" w:rsidRDefault="00D95298" w:rsidP="004B0F44">
      <w:pPr>
        <w:ind w:left="720"/>
        <w:jc w:val="both"/>
        <w:rPr>
          <w:rFonts w:ascii="Times New Roman" w:hAnsi="Times New Roman"/>
          <w:sz w:val="24"/>
          <w:szCs w:val="24"/>
        </w:rPr>
      </w:pPr>
      <w:r w:rsidRPr="00E663F4">
        <w:rPr>
          <w:rFonts w:ascii="Times New Roman" w:hAnsi="Times New Roman"/>
          <w:sz w:val="24"/>
          <w:szCs w:val="24"/>
        </w:rPr>
        <w:t>•</w:t>
      </w:r>
      <w:r w:rsidRPr="00E663F4">
        <w:rPr>
          <w:rFonts w:ascii="Times New Roman" w:hAnsi="Times New Roman"/>
          <w:sz w:val="24"/>
          <w:szCs w:val="24"/>
        </w:rPr>
        <w:tab/>
        <w:t>vanjskih i/ili unutarnjih genitalija, crta lica, tjelesne figure);</w:t>
      </w:r>
    </w:p>
    <w:p w:rsidR="00D95298" w:rsidRPr="00E663F4" w:rsidRDefault="00D95298" w:rsidP="004B0F44">
      <w:pPr>
        <w:ind w:left="720"/>
        <w:jc w:val="both"/>
        <w:rPr>
          <w:rFonts w:ascii="Times New Roman" w:hAnsi="Times New Roman"/>
          <w:sz w:val="24"/>
          <w:szCs w:val="24"/>
        </w:rPr>
      </w:pPr>
      <w:r w:rsidRPr="00E663F4">
        <w:rPr>
          <w:rFonts w:ascii="Times New Roman" w:hAnsi="Times New Roman"/>
          <w:sz w:val="24"/>
          <w:szCs w:val="24"/>
        </w:rPr>
        <w:t>•</w:t>
      </w:r>
      <w:r w:rsidRPr="00E663F4">
        <w:rPr>
          <w:rFonts w:ascii="Times New Roman" w:hAnsi="Times New Roman"/>
          <w:sz w:val="24"/>
          <w:szCs w:val="24"/>
        </w:rPr>
        <w:tab/>
        <w:t>uklanjanje dlaka elektrolizom, laserskim tretmanom ili voskom;</w:t>
      </w:r>
    </w:p>
    <w:p w:rsidR="00D95298" w:rsidRPr="00E663F4" w:rsidRDefault="00D95298" w:rsidP="004B0F44">
      <w:pPr>
        <w:ind w:left="720"/>
        <w:jc w:val="both"/>
        <w:rPr>
          <w:rFonts w:ascii="Times New Roman" w:hAnsi="Times New Roman"/>
          <w:sz w:val="24"/>
          <w:szCs w:val="24"/>
        </w:rPr>
      </w:pPr>
      <w:r w:rsidRPr="00E663F4">
        <w:rPr>
          <w:rFonts w:ascii="Times New Roman" w:hAnsi="Times New Roman"/>
          <w:sz w:val="24"/>
          <w:szCs w:val="24"/>
        </w:rPr>
        <w:t>•</w:t>
      </w:r>
      <w:r w:rsidRPr="00E663F4">
        <w:rPr>
          <w:rFonts w:ascii="Times New Roman" w:hAnsi="Times New Roman"/>
          <w:sz w:val="24"/>
          <w:szCs w:val="24"/>
        </w:rPr>
        <w:tab/>
        <w:t>kirurški zahvat prilagodbe primarnih i/ili sekundarnih spolnih obilježja (npr. dojki/prsa,</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Uz prethodno opisane postupke podrška i savjetovanje pacijentima i njihovim obiteljima se može pružati kroz formalne i neformalne grupe osoba (Coleman i sur., 2012). </w:t>
      </w:r>
    </w:p>
    <w:p w:rsidR="00D95298" w:rsidRPr="00E663F4" w:rsidRDefault="00D95298" w:rsidP="00617AF9">
      <w:pPr>
        <w:jc w:val="both"/>
        <w:rPr>
          <w:rFonts w:ascii="Times New Roman" w:hAnsi="Times New Roman"/>
          <w:sz w:val="24"/>
          <w:szCs w:val="24"/>
        </w:rPr>
      </w:pPr>
      <w:r w:rsidRPr="00E663F4">
        <w:rPr>
          <w:rFonts w:ascii="Times New Roman" w:hAnsi="Times New Roman"/>
          <w:sz w:val="24"/>
          <w:szCs w:val="24"/>
        </w:rPr>
        <w:t xml:space="preserve">Prijašnje verzije Standarda skrbi su imale striktno određene terapijske protokole te kriterije za prolaženje kroz pojedinu fazu tranzicijskog procesa. Prema novim Standardima skrbi (Coleman i sur., 2012) tretmanu se pristupa individualizirano i fleksibilno, zauzimajući pristup informiranog pristanka prema kojem je dužnost stručnjaka upoznati pacijenta s mogućim opcijama, prednostima i rizicima, uz obavezu praćenja pacijentovih odluka. </w:t>
      </w:r>
    </w:p>
    <w:p w:rsidR="00D95298" w:rsidRPr="00E663F4" w:rsidRDefault="00D95298" w:rsidP="00A71BF6">
      <w:pPr>
        <w:jc w:val="both"/>
        <w:rPr>
          <w:rFonts w:ascii="Times New Roman" w:hAnsi="Times New Roman"/>
          <w:sz w:val="24"/>
          <w:szCs w:val="24"/>
        </w:rPr>
      </w:pPr>
      <w:r w:rsidRPr="00E663F4">
        <w:rPr>
          <w:rFonts w:ascii="Times New Roman" w:hAnsi="Times New Roman"/>
          <w:sz w:val="24"/>
          <w:szCs w:val="24"/>
        </w:rPr>
        <w:lastRenderedPageBreak/>
        <w:t xml:space="preserve">U Republici Hrvatskoj do sada nije bilo organizirane stručne skrbi za transrodne i transpolne osobe. Stručnjaci koji su se bavili ovim poremećajem su malobrojni i samo neformalno povezani, najčešće preko transrodnih i transpolnih osoba. Ove Stručne smjernice predstavljaju prvi napor </w:t>
      </w:r>
      <w:r w:rsidRPr="00E663F4">
        <w:rPr>
          <w:rFonts w:ascii="Times New Roman" w:hAnsi="Times New Roman"/>
          <w:bCs/>
          <w:sz w:val="24"/>
          <w:szCs w:val="24"/>
        </w:rPr>
        <w:t xml:space="preserve">standardizacije postupka izrade mišljenja o </w:t>
      </w:r>
      <w:r w:rsidRPr="00E663F4">
        <w:rPr>
          <w:rFonts w:ascii="Times New Roman" w:hAnsi="Times New Roman"/>
          <w:color w:val="000000"/>
          <w:sz w:val="24"/>
          <w:szCs w:val="24"/>
        </w:rPr>
        <w:t>utvrđivanju uvjeta i pretpostavki za promjenu spola i života u drugom rodnom identitetu. Drugim riječima, postupak standardizacije se započeo s ciljem utvrđivanja formalnih uvjeta, a ne postupaka tretmana. Stoga su protokoli koji se predlažu u ovim smjernicama čvršće strukture od predloženih u Standardima skrbi. Naša nedavno provedena istraživanja su po</w:t>
      </w:r>
      <w:r w:rsidR="004274FA">
        <w:rPr>
          <w:rFonts w:ascii="Times New Roman" w:hAnsi="Times New Roman"/>
          <w:color w:val="000000"/>
          <w:sz w:val="24"/>
          <w:szCs w:val="24"/>
        </w:rPr>
        <w:t>kazala kako zdravstveni radni</w:t>
      </w:r>
      <w:r w:rsidRPr="00E663F4">
        <w:rPr>
          <w:rFonts w:ascii="Times New Roman" w:hAnsi="Times New Roman"/>
          <w:color w:val="000000"/>
          <w:sz w:val="24"/>
          <w:szCs w:val="24"/>
        </w:rPr>
        <w:t>ci u Hrvatskoj imaju vrlo skromno znanje o transrodnosti i transpolnosti, postupanje s rodno disforičnim pacijentima je rukovođ</w:t>
      </w:r>
      <w:r w:rsidR="004274FA">
        <w:rPr>
          <w:rFonts w:ascii="Times New Roman" w:hAnsi="Times New Roman"/>
          <w:color w:val="000000"/>
          <w:sz w:val="24"/>
          <w:szCs w:val="24"/>
        </w:rPr>
        <w:t>eno svjetonazorom samog zdravstvenog radni</w:t>
      </w:r>
      <w:r w:rsidRPr="00E663F4">
        <w:rPr>
          <w:rFonts w:ascii="Times New Roman" w:hAnsi="Times New Roman"/>
          <w:color w:val="000000"/>
          <w:sz w:val="24"/>
          <w:szCs w:val="24"/>
        </w:rPr>
        <w:t xml:space="preserve">ka, a znanja su uglavnom dobivena kroz neformalne oblike obrazovanja i medije (LauriKorajlija, Jokić-Begić i Jurin, 2015.). Čvrsto protokoliziranje postupka je u hrvatskoj stvarnosti potrebno prije svega radi zaštite samih transpolnih i transrodnih osoba od stigmatizirajućih, nestručnih i parastručnih stavova kojima bi mogli biti izloženi. Važno je, međutim, naglasiti da protokoli ne služe onemogućavanju ostvarivanju željenog rodnog identiteta, već im je svrha facilitiranje postupka.      </w:t>
      </w:r>
    </w:p>
    <w:p w:rsidR="00D95298" w:rsidRPr="00E663F4" w:rsidRDefault="00D95298" w:rsidP="00BF5979">
      <w:pPr>
        <w:pStyle w:val="Naslov1"/>
        <w:rPr>
          <w:rFonts w:ascii="Times New Roman" w:hAnsi="Times New Roman"/>
          <w:sz w:val="24"/>
          <w:szCs w:val="24"/>
        </w:rPr>
      </w:pPr>
      <w:bookmarkStart w:id="19" w:name="_Toc429254718"/>
      <w:bookmarkStart w:id="20" w:name="_Toc431396767"/>
      <w:bookmarkStart w:id="21" w:name="_Toc431396890"/>
      <w:r w:rsidRPr="00E663F4">
        <w:rPr>
          <w:rFonts w:ascii="Times New Roman" w:hAnsi="Times New Roman"/>
          <w:sz w:val="24"/>
          <w:szCs w:val="24"/>
        </w:rPr>
        <w:t>Protokol pružanja skrbi transrodnim i transpolnim osobama</w:t>
      </w:r>
      <w:bookmarkEnd w:id="19"/>
      <w:bookmarkEnd w:id="20"/>
      <w:bookmarkEnd w:id="21"/>
    </w:p>
    <w:p w:rsidR="00D95298" w:rsidRPr="00E663F4" w:rsidRDefault="00D95298" w:rsidP="00070DA7">
      <w:pPr>
        <w:rPr>
          <w:rFonts w:ascii="Times New Roman" w:hAnsi="Times New Roman"/>
          <w:sz w:val="24"/>
          <w:szCs w:val="24"/>
        </w:rPr>
      </w:pPr>
    </w:p>
    <w:p w:rsidR="00D95298" w:rsidRPr="00E663F4" w:rsidRDefault="00D95298" w:rsidP="00070DA7">
      <w:pPr>
        <w:rPr>
          <w:rFonts w:ascii="Times New Roman" w:hAnsi="Times New Roman"/>
          <w:sz w:val="24"/>
          <w:szCs w:val="24"/>
        </w:rPr>
      </w:pPr>
      <w:r w:rsidRPr="00E663F4">
        <w:rPr>
          <w:rFonts w:ascii="Times New Roman" w:hAnsi="Times New Roman"/>
          <w:sz w:val="24"/>
          <w:szCs w:val="24"/>
        </w:rPr>
        <w:t xml:space="preserve">U izradi protokola pokušalo se ostvariti dva cilja: </w:t>
      </w:r>
    </w:p>
    <w:p w:rsidR="00D95298" w:rsidRPr="00E663F4" w:rsidRDefault="00D95298" w:rsidP="00070DA7">
      <w:pPr>
        <w:pStyle w:val="Odlomakpopisa"/>
        <w:numPr>
          <w:ilvl w:val="0"/>
          <w:numId w:val="3"/>
        </w:numPr>
        <w:jc w:val="both"/>
        <w:rPr>
          <w:rFonts w:ascii="Times New Roman" w:hAnsi="Times New Roman"/>
          <w:bCs/>
          <w:sz w:val="24"/>
          <w:szCs w:val="24"/>
        </w:rPr>
      </w:pPr>
      <w:r w:rsidRPr="00E663F4">
        <w:rPr>
          <w:rFonts w:ascii="Times New Roman" w:hAnsi="Times New Roman"/>
          <w:sz w:val="24"/>
          <w:szCs w:val="24"/>
        </w:rPr>
        <w:t xml:space="preserve"> </w:t>
      </w:r>
      <w:r w:rsidRPr="00E663F4">
        <w:rPr>
          <w:rFonts w:ascii="Times New Roman" w:hAnsi="Times New Roman"/>
          <w:bCs/>
          <w:sz w:val="24"/>
          <w:szCs w:val="24"/>
        </w:rPr>
        <w:t xml:space="preserve">standardizirati postupak pružanja zdravstvene i psihosocijalne zaštite rodno disforičnim osobama </w:t>
      </w:r>
    </w:p>
    <w:p w:rsidR="00D95298" w:rsidRPr="00E663F4" w:rsidRDefault="00D95298" w:rsidP="00070DA7">
      <w:pPr>
        <w:pStyle w:val="Odlomakpopisa"/>
        <w:numPr>
          <w:ilvl w:val="0"/>
          <w:numId w:val="3"/>
        </w:numPr>
        <w:jc w:val="both"/>
        <w:rPr>
          <w:rFonts w:ascii="Times New Roman" w:hAnsi="Times New Roman"/>
          <w:bCs/>
          <w:sz w:val="24"/>
          <w:szCs w:val="24"/>
        </w:rPr>
      </w:pPr>
      <w:r w:rsidRPr="00E663F4">
        <w:rPr>
          <w:rFonts w:ascii="Times New Roman" w:hAnsi="Times New Roman"/>
          <w:bCs/>
          <w:sz w:val="24"/>
          <w:szCs w:val="24"/>
        </w:rPr>
        <w:t xml:space="preserve">standardizirati postupak izrade mišljenja o </w:t>
      </w:r>
      <w:r w:rsidRPr="00E663F4">
        <w:rPr>
          <w:rFonts w:ascii="Times New Roman" w:hAnsi="Times New Roman"/>
          <w:color w:val="000000"/>
          <w:sz w:val="24"/>
          <w:szCs w:val="24"/>
        </w:rPr>
        <w:t>utvrđivanju uvjeta i pretpostavki za promjenu spola i života u drugom rodnom identitetu, utemeljene na etičkim i profesionalnim načelima.</w:t>
      </w:r>
      <w:r w:rsidRPr="00E663F4">
        <w:rPr>
          <w:rFonts w:ascii="Times New Roman" w:hAnsi="Times New Roman"/>
          <w:bCs/>
          <w:sz w:val="24"/>
          <w:szCs w:val="24"/>
        </w:rPr>
        <w:t xml:space="preserve"> </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Slika 1. prikazuje hodogram koji objedinjuje oba cilja, a u daljnjem tekstu će se dati detaljniji postupnici za pojedinu skupinu aktivnosti (psihološko-psihijatrijska dijagnostika i skrb, endokrionološka dijagnostika i skrb, itd.).</w:t>
      </w:r>
    </w:p>
    <w:p w:rsidR="00F561A0" w:rsidRPr="00E663F4" w:rsidRDefault="00F561A0" w:rsidP="00070DA7">
      <w:pPr>
        <w:rPr>
          <w:rFonts w:ascii="Times New Roman" w:hAnsi="Times New Roman"/>
          <w:sz w:val="24"/>
          <w:szCs w:val="24"/>
        </w:rPr>
      </w:pPr>
      <w:r w:rsidRPr="00E663F4">
        <w:rPr>
          <w:rFonts w:ascii="Times New Roman" w:hAnsi="Times New Roman"/>
          <w:sz w:val="24"/>
          <w:szCs w:val="24"/>
        </w:rPr>
        <w:br w:type="page"/>
      </w:r>
    </w:p>
    <w:p w:rsidR="00F561A0" w:rsidRPr="00E663F4" w:rsidRDefault="00F561A0" w:rsidP="00070DA7">
      <w:pPr>
        <w:rPr>
          <w:rFonts w:ascii="Times New Roman" w:hAnsi="Times New Roman"/>
          <w:sz w:val="24"/>
          <w:szCs w:val="24"/>
        </w:rPr>
      </w:pPr>
    </w:p>
    <w:p w:rsidR="00D95298" w:rsidRPr="00E663F4" w:rsidRDefault="00D95298" w:rsidP="00070DA7">
      <w:pPr>
        <w:rPr>
          <w:rFonts w:ascii="Times New Roman" w:hAnsi="Times New Roman"/>
          <w:i/>
          <w:sz w:val="24"/>
          <w:szCs w:val="24"/>
        </w:rPr>
      </w:pPr>
      <w:r w:rsidRPr="00E663F4">
        <w:rPr>
          <w:rFonts w:ascii="Times New Roman" w:hAnsi="Times New Roman"/>
          <w:i/>
          <w:sz w:val="24"/>
          <w:szCs w:val="24"/>
        </w:rPr>
        <w:t>Slika 1. Hodogram za izradu mišljenja liječnika i kliničkih psihologa i upućivanje u tretman</w:t>
      </w:r>
    </w:p>
    <w:p w:rsidR="00D95298" w:rsidRPr="00E663F4" w:rsidRDefault="00D95298" w:rsidP="00070DA7">
      <w:pPr>
        <w:rPr>
          <w:rFonts w:ascii="Times New Roman" w:hAnsi="Times New Roman"/>
          <w:sz w:val="24"/>
          <w:szCs w:val="24"/>
        </w:rPr>
      </w:pPr>
    </w:p>
    <w:p w:rsidR="00D95298" w:rsidRPr="00E663F4" w:rsidRDefault="00B249E2" w:rsidP="00070DA7">
      <w:pPr>
        <w:rPr>
          <w:rFonts w:ascii="Times New Roman" w:hAnsi="Times New Roman"/>
          <w:sz w:val="24"/>
          <w:szCs w:val="24"/>
        </w:rPr>
      </w:pPr>
      <w:r w:rsidRPr="00E663F4">
        <w:rPr>
          <w:rFonts w:ascii="Times New Roman" w:hAnsi="Times New Roman"/>
          <w:noProof/>
          <w:sz w:val="24"/>
          <w:szCs w:val="24"/>
          <w:lang w:eastAsia="hr-HR"/>
        </w:rPr>
        <mc:AlternateContent>
          <mc:Choice Requires="wps">
            <w:drawing>
              <wp:anchor distT="0" distB="0" distL="114300" distR="114300" simplePos="0" relativeHeight="251665408" behindDoc="0" locked="0" layoutInCell="1" allowOverlap="1" wp14:anchorId="4B41F548" wp14:editId="3C6BA166">
                <wp:simplePos x="0" y="0"/>
                <wp:positionH relativeFrom="column">
                  <wp:posOffset>2995930</wp:posOffset>
                </wp:positionH>
                <wp:positionV relativeFrom="paragraph">
                  <wp:posOffset>1634490</wp:posOffset>
                </wp:positionV>
                <wp:extent cx="9525" cy="361950"/>
                <wp:effectExtent l="0" t="0" r="28575" b="190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35.9pt;margin-top:128.7pt;width:.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V0NAIAAHs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"/>
            </w:pict>
          </mc:Fallback>
        </mc:AlternateContent>
      </w:r>
      <w:r w:rsidRPr="00E663F4">
        <w:rPr>
          <w:rFonts w:ascii="Times New Roman" w:hAnsi="Times New Roman"/>
          <w:noProof/>
          <w:sz w:val="24"/>
          <w:szCs w:val="24"/>
          <w:lang w:eastAsia="hr-HR"/>
        </w:rPr>
        <mc:AlternateContent>
          <mc:Choice Requires="wps">
            <w:drawing>
              <wp:anchor distT="0" distB="0" distL="114300" distR="114300" simplePos="0" relativeHeight="251663360" behindDoc="0" locked="0" layoutInCell="1" allowOverlap="1" wp14:anchorId="2B546DA5" wp14:editId="60FF2D9A">
                <wp:simplePos x="0" y="0"/>
                <wp:positionH relativeFrom="column">
                  <wp:posOffset>2395855</wp:posOffset>
                </wp:positionH>
                <wp:positionV relativeFrom="paragraph">
                  <wp:posOffset>2063115</wp:posOffset>
                </wp:positionV>
                <wp:extent cx="657225" cy="228600"/>
                <wp:effectExtent l="0" t="0" r="28575"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solidFill>
                          <a:srgbClr val="FFFFFF"/>
                        </a:solidFill>
                        <a:ln w="9525">
                          <a:solidFill>
                            <a:schemeClr val="bg1">
                              <a:lumMod val="100000"/>
                              <a:lumOff val="0"/>
                            </a:schemeClr>
                          </a:solidFill>
                          <a:miter lim="800000"/>
                          <a:headEnd/>
                          <a:tailEnd/>
                        </a:ln>
                      </wps:spPr>
                      <wps:txbx>
                        <w:txbxContent>
                          <w:p w:rsidR="00B443A1" w:rsidRPr="001E4D64" w:rsidRDefault="00B443A1">
                            <w:pPr>
                              <w:rPr>
                                <w:sz w:val="16"/>
                                <w:szCs w:val="16"/>
                                <w:lang w:val="en-US"/>
                              </w:rPr>
                            </w:pPr>
                            <w:proofErr w:type="gramStart"/>
                            <w:r w:rsidRPr="001E4D64">
                              <w:rPr>
                                <w:sz w:val="16"/>
                                <w:szCs w:val="16"/>
                                <w:lang w:val="en-US"/>
                              </w:rPr>
                              <w:t>ginekolog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88.65pt;margin-top:162.45pt;width:51.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" strokecolor="white [3212]">
                <v:textbox>
                  <w:txbxContent>
                    <w:p w:rsidR="00F561A0" w:rsidRPr="001E4D64" w:rsidRDefault="00F561A0">
                      <w:pPr>
                        <w:rPr>
                          <w:sz w:val="16"/>
                          <w:szCs w:val="16"/>
                          <w:lang w:val="en-US"/>
                        </w:rPr>
                      </w:pPr>
                      <w:proofErr w:type="gramStart"/>
                      <w:r w:rsidRPr="001E4D64">
                        <w:rPr>
                          <w:sz w:val="16"/>
                          <w:szCs w:val="16"/>
                          <w:lang w:val="en-US"/>
                        </w:rPr>
                        <w:t>ginekolog</w:t>
                      </w:r>
                      <w:proofErr w:type="gramEnd"/>
                    </w:p>
                  </w:txbxContent>
                </v:textbox>
              </v:shape>
            </w:pict>
          </mc:Fallback>
        </mc:AlternateContent>
      </w:r>
      <w:r w:rsidRPr="00E663F4">
        <w:rPr>
          <w:rFonts w:ascii="Times New Roman" w:hAnsi="Times New Roman"/>
          <w:noProof/>
          <w:sz w:val="24"/>
          <w:szCs w:val="24"/>
          <w:lang w:eastAsia="hr-HR"/>
        </w:rPr>
        <mc:AlternateContent>
          <mc:Choice Requires="wps">
            <w:drawing>
              <wp:anchor distT="4294967295" distB="4294967295" distL="114300" distR="114300" simplePos="0" relativeHeight="251664384" behindDoc="0" locked="0" layoutInCell="1" allowOverlap="1" wp14:anchorId="707CEAB3" wp14:editId="0344CDBE">
                <wp:simplePos x="0" y="0"/>
                <wp:positionH relativeFrom="column">
                  <wp:posOffset>2776855</wp:posOffset>
                </wp:positionH>
                <wp:positionV relativeFrom="paragraph">
                  <wp:posOffset>1624964</wp:posOffset>
                </wp:positionV>
                <wp:extent cx="209550" cy="0"/>
                <wp:effectExtent l="0" t="0" r="19050" b="190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2700" cmpd="sng">
                          <a:solidFill>
                            <a:schemeClr val="accent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18.65pt;margin-top:127.95pt;width:1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" strokecolor="#4f81bd [3204]" strokeweight="1pt">
                <v:shadow color="#243f60 [1604]" offset="1pt"/>
              </v:shape>
            </w:pict>
          </mc:Fallback>
        </mc:AlternateContent>
      </w:r>
      <w:r w:rsidRPr="00E663F4">
        <w:rPr>
          <w:rFonts w:ascii="Times New Roman" w:hAnsi="Times New Roman"/>
          <w:noProof/>
          <w:sz w:val="24"/>
          <w:szCs w:val="24"/>
          <w:lang w:eastAsia="hr-HR"/>
        </w:rPr>
        <mc:AlternateContent>
          <mc:Choice Requires="wps">
            <w:drawing>
              <wp:anchor distT="0" distB="0" distL="114300" distR="114300" simplePos="0" relativeHeight="251662336" behindDoc="0" locked="0" layoutInCell="1" allowOverlap="1" wp14:anchorId="62D30A01" wp14:editId="5533AA5D">
                <wp:simplePos x="0" y="0"/>
                <wp:positionH relativeFrom="column">
                  <wp:posOffset>2367280</wp:posOffset>
                </wp:positionH>
                <wp:positionV relativeFrom="paragraph">
                  <wp:posOffset>1996440</wp:posOffset>
                </wp:positionV>
                <wp:extent cx="771525" cy="342900"/>
                <wp:effectExtent l="0" t="0" r="2857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42900"/>
                        </a:xfrm>
                        <a:prstGeom prst="roundRect">
                          <a:avLst>
                            <a:gd name="adj" fmla="val 16667"/>
                          </a:avLst>
                        </a:prstGeom>
                        <a:solidFill>
                          <a:srgbClr val="FFFFFF"/>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86.4pt;margin-top:157.2pt;width:60.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" strokecolor="#365f91 [2404]"/>
            </w:pict>
          </mc:Fallback>
        </mc:AlternateContent>
      </w:r>
      <w:r w:rsidRPr="00E663F4">
        <w:rPr>
          <w:rFonts w:ascii="Times New Roman" w:hAnsi="Times New Roman"/>
          <w:noProof/>
          <w:sz w:val="24"/>
          <w:szCs w:val="24"/>
          <w:lang w:eastAsia="hr-HR"/>
        </w:rPr>
        <mc:AlternateContent>
          <mc:Choice Requires="wps">
            <w:drawing>
              <wp:anchor distT="0" distB="0" distL="114300" distR="114300" simplePos="0" relativeHeight="251660288" behindDoc="0" locked="0" layoutInCell="1" allowOverlap="1" wp14:anchorId="4E49A4FA" wp14:editId="7A4AEA93">
                <wp:simplePos x="0" y="0"/>
                <wp:positionH relativeFrom="column">
                  <wp:posOffset>1448435</wp:posOffset>
                </wp:positionH>
                <wp:positionV relativeFrom="paragraph">
                  <wp:posOffset>1059815</wp:posOffset>
                </wp:positionV>
                <wp:extent cx="318770" cy="629920"/>
                <wp:effectExtent l="0" t="0" r="24130" b="1778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770" cy="62992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4.05pt;margin-top:83.45pt;width:25.1pt;height:49.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" strokecolor="#002060" strokeweight="1.5pt"/>
            </w:pict>
          </mc:Fallback>
        </mc:AlternateContent>
      </w:r>
      <w:r w:rsidRPr="00E663F4">
        <w:rPr>
          <w:rFonts w:ascii="Times New Roman" w:hAnsi="Times New Roman"/>
          <w:noProof/>
          <w:sz w:val="24"/>
          <w:szCs w:val="24"/>
          <w:lang w:eastAsia="hr-HR"/>
        </w:rPr>
        <mc:AlternateContent>
          <mc:Choice Requires="wps">
            <w:drawing>
              <wp:anchor distT="0" distB="0" distL="114300" distR="114300" simplePos="0" relativeHeight="251659264" behindDoc="0" locked="0" layoutInCell="1" allowOverlap="1" wp14:anchorId="5501DBB6" wp14:editId="4356B746">
                <wp:simplePos x="0" y="0"/>
                <wp:positionH relativeFrom="column">
                  <wp:posOffset>748665</wp:posOffset>
                </wp:positionH>
                <wp:positionV relativeFrom="paragraph">
                  <wp:posOffset>1689735</wp:posOffset>
                </wp:positionV>
                <wp:extent cx="1059815" cy="1084580"/>
                <wp:effectExtent l="19050" t="19050" r="26035" b="2032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08458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43A1" w:rsidRPr="00070DA7" w:rsidRDefault="00B443A1" w:rsidP="00070DA7">
                            <w:r w:rsidRPr="00070DA7">
                              <w:rPr>
                                <w:rStyle w:val="apple-converted-space"/>
                                <w:color w:val="000000"/>
                                <w:sz w:val="18"/>
                                <w:szCs w:val="18"/>
                              </w:rPr>
                              <w:t> </w:t>
                            </w:r>
                            <w:r w:rsidRPr="00070DA7">
                              <w:rPr>
                                <w:color w:val="000000"/>
                                <w:sz w:val="18"/>
                                <w:szCs w:val="18"/>
                              </w:rPr>
                              <w:t>Izvješće nadležnog centra za socijalnu skrb o osobnim i</w:t>
                            </w:r>
                            <w:r>
                              <w:rPr>
                                <w:color w:val="000000"/>
                                <w:sz w:val="18"/>
                                <w:szCs w:val="18"/>
                              </w:rPr>
                              <w:t xml:space="preserve"> obiteljskim prilikama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8.95pt;margin-top:133.05pt;width:83.4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" strokecolor="#4f81bd" strokeweight="2.5pt">
                <v:shadow color="#868686"/>
                <v:textbox>
                  <w:txbxContent>
                    <w:p w:rsidR="00F561A0" w:rsidRPr="00070DA7" w:rsidRDefault="00F561A0" w:rsidP="00070DA7">
                      <w:r w:rsidRPr="00070DA7">
                        <w:rPr>
                          <w:rStyle w:val="apple-converted-space"/>
                          <w:color w:val="000000"/>
                          <w:sz w:val="18"/>
                          <w:szCs w:val="18"/>
                        </w:rPr>
                        <w:t> </w:t>
                      </w:r>
                      <w:r w:rsidRPr="00070DA7">
                        <w:rPr>
                          <w:color w:val="000000"/>
                          <w:sz w:val="18"/>
                          <w:szCs w:val="18"/>
                        </w:rPr>
                        <w:t>Izvješće nadležnog centra za socijalnu skrb o osobnim i</w:t>
                      </w:r>
                      <w:r>
                        <w:rPr>
                          <w:color w:val="000000"/>
                          <w:sz w:val="18"/>
                          <w:szCs w:val="18"/>
                        </w:rPr>
                        <w:t xml:space="preserve"> obiteljskim prilikama</w:t>
                      </w:r>
                    </w:p>
                  </w:txbxContent>
                </v:textbox>
              </v:shape>
            </w:pict>
          </mc:Fallback>
        </mc:AlternateContent>
      </w:r>
      <w:r w:rsidRPr="00E663F4">
        <w:rPr>
          <w:rFonts w:ascii="Times New Roman" w:hAnsi="Times New Roman"/>
          <w:noProof/>
          <w:sz w:val="24"/>
          <w:szCs w:val="24"/>
          <w:lang w:eastAsia="hr-HR"/>
        </w:rPr>
        <mc:AlternateContent>
          <mc:Choice Requires="wps">
            <w:drawing>
              <wp:anchor distT="4294967294" distB="4294967294" distL="114300" distR="114300" simplePos="0" relativeHeight="251655168" behindDoc="0" locked="0" layoutInCell="1" allowOverlap="1" wp14:anchorId="5661B61A" wp14:editId="7D93D4E4">
                <wp:simplePos x="0" y="0"/>
                <wp:positionH relativeFrom="column">
                  <wp:posOffset>2529205</wp:posOffset>
                </wp:positionH>
                <wp:positionV relativeFrom="paragraph">
                  <wp:posOffset>225424</wp:posOffset>
                </wp:positionV>
                <wp:extent cx="810260" cy="0"/>
                <wp:effectExtent l="0" t="76200" r="27940" b="952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9.15pt;margin-top:17.75pt;width:63.8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" strokecolor="#002060" strokeweight="1.5pt">
                <v:stroke endarrow="block"/>
              </v:shape>
            </w:pict>
          </mc:Fallback>
        </mc:AlternateContent>
      </w:r>
      <w:r w:rsidRPr="00E663F4">
        <w:rPr>
          <w:rFonts w:ascii="Times New Roman" w:hAnsi="Times New Roman"/>
          <w:noProof/>
          <w:sz w:val="24"/>
          <w:szCs w:val="24"/>
          <w:lang w:eastAsia="hr-HR"/>
        </w:rPr>
        <mc:AlternateContent>
          <mc:Choice Requires="wps">
            <w:drawing>
              <wp:anchor distT="0" distB="0" distL="114300" distR="114300" simplePos="0" relativeHeight="251658240" behindDoc="0" locked="0" layoutInCell="1" allowOverlap="1" wp14:anchorId="3FE2F0C0" wp14:editId="003AC87A">
                <wp:simplePos x="0" y="0"/>
                <wp:positionH relativeFrom="column">
                  <wp:posOffset>4780280</wp:posOffset>
                </wp:positionH>
                <wp:positionV relativeFrom="paragraph">
                  <wp:posOffset>1447165</wp:posOffset>
                </wp:positionV>
                <wp:extent cx="720725" cy="560705"/>
                <wp:effectExtent l="19050" t="19050" r="2222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56070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43A1" w:rsidRPr="00070DA7" w:rsidRDefault="00B443A1">
                            <w:pPr>
                              <w:rPr>
                                <w:sz w:val="20"/>
                                <w:szCs w:val="20"/>
                              </w:rPr>
                            </w:pPr>
                            <w:r w:rsidRPr="00070DA7">
                              <w:rPr>
                                <w:sz w:val="20"/>
                                <w:szCs w:val="20"/>
                              </w:rPr>
                              <w:t>dostupno u 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76.4pt;margin-top:113.95pt;width:56.7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" strokecolor="#4f81bd" strokeweight="2.5pt">
                <v:shadow color="#868686"/>
                <v:textbox>
                  <w:txbxContent>
                    <w:p w:rsidR="00F561A0" w:rsidRPr="00070DA7" w:rsidRDefault="00F561A0">
                      <w:pPr>
                        <w:rPr>
                          <w:sz w:val="20"/>
                          <w:szCs w:val="20"/>
                        </w:rPr>
                      </w:pPr>
                      <w:r w:rsidRPr="00070DA7">
                        <w:rPr>
                          <w:sz w:val="20"/>
                          <w:szCs w:val="20"/>
                        </w:rPr>
                        <w:t>dostupno u RH</w:t>
                      </w:r>
                    </w:p>
                  </w:txbxContent>
                </v:textbox>
              </v:shape>
            </w:pict>
          </mc:Fallback>
        </mc:AlternateContent>
      </w:r>
      <w:r w:rsidRPr="00E663F4">
        <w:rPr>
          <w:rFonts w:ascii="Times New Roman" w:hAnsi="Times New Roman"/>
          <w:noProof/>
          <w:sz w:val="24"/>
          <w:szCs w:val="24"/>
          <w:lang w:eastAsia="hr-HR"/>
        </w:rPr>
        <mc:AlternateContent>
          <mc:Choice Requires="wps">
            <w:drawing>
              <wp:anchor distT="0" distB="0" distL="114300" distR="114300" simplePos="0" relativeHeight="251657216" behindDoc="0" locked="0" layoutInCell="1" allowOverlap="1" wp14:anchorId="6CB58516" wp14:editId="0ABF9EB2">
                <wp:simplePos x="0" y="0"/>
                <wp:positionH relativeFrom="column">
                  <wp:posOffset>4284345</wp:posOffset>
                </wp:positionH>
                <wp:positionV relativeFrom="paragraph">
                  <wp:posOffset>677545</wp:posOffset>
                </wp:positionV>
                <wp:extent cx="426720" cy="2140585"/>
                <wp:effectExtent l="0" t="0" r="11430"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2140585"/>
                        </a:xfrm>
                        <a:prstGeom prst="rightBrace">
                          <a:avLst>
                            <a:gd name="adj1" fmla="val 41803"/>
                            <a:gd name="adj2" fmla="val 50000"/>
                          </a:avLst>
                        </a:prstGeom>
                        <a:noFill/>
                        <a:ln w="19050">
                          <a:solidFill>
                            <a:srgbClr val="002060"/>
                          </a:solidFill>
                          <a:round/>
                          <a:headEnd/>
                          <a:tailEnd/>
                        </a:ln>
                        <a:extLst>
                          <a:ext uri="{909E8E84-426E-40DD-AFC4-6F175D3DCCD1}">
                            <a14:hiddenFill xmlns:a14="http://schemas.microsoft.com/office/drawing/2010/main">
                              <a:solidFill>
                                <a:srgbClr val="FFFFFF"/>
                              </a:solidFill>
                            </a14:hiddenFill>
                          </a:ext>
                        </a:extLst>
                      </wps:spPr>
                      <wps:txbx>
                        <w:txbxContent>
                          <w:p w:rsidR="00B443A1" w:rsidRPr="00070DA7" w:rsidRDefault="00B443A1" w:rsidP="00070D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9" type="#_x0000_t88" style="position:absolute;margin-left:337.35pt;margin-top:53.35pt;width:33.6pt;height:16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" strokecolor="#002060" strokeweight="1.5pt">
                <v:textbox>
                  <w:txbxContent>
                    <w:p w:rsidR="00F561A0" w:rsidRPr="00070DA7" w:rsidRDefault="00F561A0" w:rsidP="00070DA7"/>
                  </w:txbxContent>
                </v:textbox>
              </v:shape>
            </w:pict>
          </mc:Fallback>
        </mc:AlternateContent>
      </w:r>
      <w:r w:rsidRPr="00E663F4">
        <w:rPr>
          <w:rFonts w:ascii="Times New Roman" w:hAnsi="Times New Roman"/>
          <w:noProof/>
          <w:sz w:val="24"/>
          <w:szCs w:val="24"/>
          <w:lang w:eastAsia="hr-HR"/>
        </w:rPr>
        <mc:AlternateContent>
          <mc:Choice Requires="wps">
            <w:drawing>
              <wp:anchor distT="0" distB="0" distL="114300" distR="114300" simplePos="0" relativeHeight="251656192" behindDoc="0" locked="0" layoutInCell="1" allowOverlap="1" wp14:anchorId="1D2608D1" wp14:editId="572D0BAC">
                <wp:simplePos x="0" y="0"/>
                <wp:positionH relativeFrom="column">
                  <wp:posOffset>1538605</wp:posOffset>
                </wp:positionH>
                <wp:positionV relativeFrom="paragraph">
                  <wp:posOffset>1059180</wp:posOffset>
                </wp:positionV>
                <wp:extent cx="356235" cy="635"/>
                <wp:effectExtent l="0" t="0" r="2476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21.15pt;margin-top:83.4pt;width:28.0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" strokecolor="#002060" strokeweight="1.5pt"/>
            </w:pict>
          </mc:Fallback>
        </mc:AlternateContent>
      </w:r>
      <w:r w:rsidR="00650A48" w:rsidRPr="00E663F4">
        <w:rPr>
          <w:rFonts w:ascii="Times New Roman" w:hAnsi="Times New Roman"/>
          <w:noProof/>
          <w:sz w:val="24"/>
          <w:szCs w:val="24"/>
          <w:lang w:eastAsia="hr-HR"/>
        </w:rPr>
        <w:drawing>
          <wp:inline distT="0" distB="0" distL="0" distR="0" wp14:anchorId="1D581993" wp14:editId="57D9E89A">
            <wp:extent cx="5486400" cy="3601085"/>
            <wp:effectExtent l="0" t="0" r="0" b="1841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95298" w:rsidRPr="00E663F4" w:rsidRDefault="00D95298" w:rsidP="00070DA7">
      <w:pPr>
        <w:rPr>
          <w:rFonts w:ascii="Times New Roman" w:hAnsi="Times New Roman"/>
          <w:sz w:val="24"/>
          <w:szCs w:val="24"/>
        </w:rPr>
      </w:pPr>
    </w:p>
    <w:p w:rsidR="00D95298" w:rsidRPr="00E663F4" w:rsidRDefault="00D95298" w:rsidP="00E663F4">
      <w:pPr>
        <w:spacing w:line="240" w:lineRule="auto"/>
        <w:jc w:val="both"/>
        <w:rPr>
          <w:rFonts w:ascii="Times New Roman" w:hAnsi="Times New Roman"/>
          <w:sz w:val="24"/>
          <w:szCs w:val="24"/>
        </w:rPr>
      </w:pPr>
      <w:r w:rsidRPr="00E663F4">
        <w:rPr>
          <w:rFonts w:ascii="Times New Roman" w:hAnsi="Times New Roman"/>
          <w:sz w:val="24"/>
          <w:szCs w:val="24"/>
        </w:rPr>
        <w:t xml:space="preserve">* dijagnostiku provode stručnjaci s Liste stručnjaka, a njihov je zadatak voditi i registar osoba koje su uključene u dijagnostički proces </w:t>
      </w:r>
    </w:p>
    <w:p w:rsidR="00D95298" w:rsidRPr="00E663F4" w:rsidRDefault="00D95298" w:rsidP="00E663F4">
      <w:pPr>
        <w:spacing w:line="240" w:lineRule="auto"/>
        <w:jc w:val="both"/>
        <w:rPr>
          <w:rFonts w:ascii="Times New Roman" w:hAnsi="Times New Roman"/>
          <w:sz w:val="24"/>
          <w:szCs w:val="24"/>
        </w:rPr>
      </w:pPr>
      <w:r w:rsidRPr="00E663F4">
        <w:rPr>
          <w:rFonts w:ascii="Times New Roman" w:hAnsi="Times New Roman"/>
          <w:sz w:val="24"/>
          <w:szCs w:val="24"/>
        </w:rPr>
        <w:t xml:space="preserve">Hodogram dijagnostike te izrade mišljenja za Nacionalno vijeće za zdravlje je jednak radi li se o odrasloj osobi ili djetetu, no u tretmanu postoje značajne razlike. </w:t>
      </w:r>
    </w:p>
    <w:p w:rsidR="00D95298" w:rsidRPr="00E663F4" w:rsidRDefault="00D95298" w:rsidP="00070DA7">
      <w:pPr>
        <w:rPr>
          <w:rFonts w:ascii="Times New Roman" w:hAnsi="Times New Roman"/>
          <w:sz w:val="24"/>
          <w:szCs w:val="24"/>
        </w:rPr>
      </w:pP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Osobe koje zatraže psihosocijalnu i zdravstvenu skrbi radi rodne disforije ili žele pravnu promjenu spola trebaju biti upućene stručnjacima s Liste stručnjaka imenovane od strane Ministra zdravlja.  Uobičajeno je početi s stručnjacima iz područja psihijatrije i/ili psihologije koji će procijeniti intenzitet rodne disforije. Osim toga, oni će osobu uputiti u niz terapijskih opcija ili prilagodbe rodnog izražavanja kojima se može ublažiti rodna disforija i poboljšati kvaliteta života. Ako se radi o izraženim transpolnim tendencijama, osoba će biti upućena na prilagodbu spolnih obilježja kroz individualizirano prilagođene različite medicinske tretmane.  Tijekom procesa tranzicije psiholog i/ili psihijatar će biti dostupan transpolnoj osobi i po potrebi pružati savjetodavnu, psihoedukativnu, psihosocijalnu i psihijatrijsku skrb. Psihološka dijagnostika i tretman su opisani u posebnom poglavlju.</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 xml:space="preserve">Ako osoba želi promijeniti spol u dokumentima i/ili se u dogovoru sa stručnjakom za mentalno zdravlje odluči za feminizaciju/maskulinizaciju tijela putem hormonalne terapije </w:t>
      </w:r>
      <w:r w:rsidRPr="00E663F4">
        <w:rPr>
          <w:rFonts w:ascii="Times New Roman" w:hAnsi="Times New Roman"/>
          <w:sz w:val="24"/>
          <w:szCs w:val="24"/>
        </w:rPr>
        <w:lastRenderedPageBreak/>
        <w:t xml:space="preserve">upućuje se endokrinologu sa Liste stručnjaka. Endokrinološka dijagnostika i tretman su opisani u posebnom poglavlju. </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 xml:space="preserve">Ako osoba nakon procesa dijagnostike želi promjenu spola u dokumentima psihijatar, psiholog i endokrinolog izrađuju svoje mišljenje za Nacionalno zdravstveno vijeće prema Pravilniku o načinu prikupljanja medicinske dokumentacije te utvrđivanju uvjeta i pretpostavki za promjenu spola ili o životu u drugom rodnom identitetu. </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 xml:space="preserve">Neki od ostalih tretmana koji će pomoći osobi u ostvarivanju bolje kvalitete života se mogu djelomično ostvariti u Republici Hrvatskoj, a neke je potrebno obaviti u inozemstvu. Tijekom savjetodavnog procesa je potrebno je upoznati transpolne i transrodne osobe s mogućnostima tretmana.   </w:t>
      </w:r>
    </w:p>
    <w:p w:rsidR="00D95298" w:rsidRPr="00E663F4" w:rsidRDefault="00D95298" w:rsidP="00070DA7">
      <w:pPr>
        <w:rPr>
          <w:rFonts w:ascii="Times New Roman" w:hAnsi="Times New Roman"/>
          <w:sz w:val="24"/>
          <w:szCs w:val="24"/>
        </w:rPr>
      </w:pPr>
    </w:p>
    <w:p w:rsidR="00D95298" w:rsidRPr="00E663F4" w:rsidRDefault="00D95298" w:rsidP="00AC1623">
      <w:pPr>
        <w:pStyle w:val="Naslov2"/>
        <w:rPr>
          <w:rFonts w:ascii="Times New Roman" w:hAnsi="Times New Roman"/>
          <w:sz w:val="24"/>
          <w:szCs w:val="24"/>
        </w:rPr>
      </w:pPr>
      <w:bookmarkStart w:id="22" w:name="_Toc429254719"/>
      <w:bookmarkStart w:id="23" w:name="_Toc431396768"/>
      <w:bookmarkStart w:id="24" w:name="_Toc431396891"/>
      <w:r w:rsidRPr="00E663F4">
        <w:rPr>
          <w:rFonts w:ascii="Times New Roman" w:hAnsi="Times New Roman"/>
          <w:sz w:val="24"/>
          <w:szCs w:val="24"/>
        </w:rPr>
        <w:t>Psihološka i psihijatrijska procjena i tretman</w:t>
      </w:r>
      <w:bookmarkEnd w:id="22"/>
      <w:bookmarkEnd w:id="23"/>
      <w:bookmarkEnd w:id="24"/>
      <w:r w:rsidRPr="00E663F4">
        <w:rPr>
          <w:rFonts w:ascii="Times New Roman" w:hAnsi="Times New Roman"/>
          <w:sz w:val="24"/>
          <w:szCs w:val="24"/>
        </w:rPr>
        <w:t xml:space="preserve"> </w:t>
      </w:r>
    </w:p>
    <w:p w:rsidR="00D95298" w:rsidRPr="00E663F4" w:rsidRDefault="00D95298" w:rsidP="00070DA7">
      <w:pPr>
        <w:rPr>
          <w:rFonts w:ascii="Times New Roman" w:hAnsi="Times New Roman"/>
          <w:sz w:val="24"/>
          <w:szCs w:val="24"/>
        </w:rPr>
      </w:pPr>
    </w:p>
    <w:p w:rsidR="00D95298" w:rsidRPr="00E663F4" w:rsidRDefault="00D95298" w:rsidP="00AC1623">
      <w:pPr>
        <w:pStyle w:val="Naslov3"/>
        <w:rPr>
          <w:rFonts w:ascii="Times New Roman" w:hAnsi="Times New Roman"/>
          <w:sz w:val="24"/>
          <w:szCs w:val="24"/>
        </w:rPr>
      </w:pPr>
      <w:bookmarkStart w:id="25" w:name="_Toc429254720"/>
      <w:bookmarkStart w:id="26" w:name="_Toc431396769"/>
      <w:bookmarkStart w:id="27" w:name="_Toc431396892"/>
      <w:r w:rsidRPr="00E663F4">
        <w:rPr>
          <w:rFonts w:ascii="Times New Roman" w:hAnsi="Times New Roman"/>
          <w:sz w:val="24"/>
          <w:szCs w:val="24"/>
        </w:rPr>
        <w:t>1. Psihodijagnostika</w:t>
      </w:r>
      <w:bookmarkEnd w:id="25"/>
      <w:bookmarkEnd w:id="26"/>
      <w:bookmarkEnd w:id="27"/>
    </w:p>
    <w:p w:rsidR="00D95298" w:rsidRPr="00E663F4" w:rsidRDefault="00D95298" w:rsidP="00070DA7">
      <w:pPr>
        <w:spacing w:line="240" w:lineRule="auto"/>
        <w:ind w:firstLine="360"/>
        <w:jc w:val="both"/>
        <w:rPr>
          <w:rFonts w:ascii="Times New Roman" w:hAnsi="Times New Roman"/>
          <w:sz w:val="24"/>
          <w:szCs w:val="24"/>
        </w:rPr>
      </w:pPr>
      <w:r w:rsidRPr="00E663F4">
        <w:rPr>
          <w:rFonts w:ascii="Times New Roman" w:hAnsi="Times New Roman"/>
          <w:sz w:val="24"/>
          <w:szCs w:val="24"/>
        </w:rPr>
        <w:t xml:space="preserve">Psihodijagnostika uključuje: </w:t>
      </w:r>
    </w:p>
    <w:p w:rsidR="00D95298" w:rsidRPr="00E663F4" w:rsidRDefault="00D95298" w:rsidP="00070DA7">
      <w:pPr>
        <w:spacing w:line="240" w:lineRule="auto"/>
        <w:ind w:firstLine="360"/>
        <w:jc w:val="both"/>
        <w:rPr>
          <w:rFonts w:ascii="Times New Roman" w:hAnsi="Times New Roman"/>
          <w:sz w:val="24"/>
          <w:szCs w:val="24"/>
        </w:rPr>
      </w:pPr>
      <w:r w:rsidRPr="00E663F4">
        <w:rPr>
          <w:rFonts w:ascii="Times New Roman" w:hAnsi="Times New Roman"/>
          <w:sz w:val="24"/>
          <w:szCs w:val="24"/>
        </w:rPr>
        <w:t>a) psihologijsku procjenu</w:t>
      </w:r>
    </w:p>
    <w:p w:rsidR="00D95298" w:rsidRPr="00E663F4" w:rsidRDefault="00D95298" w:rsidP="00070DA7">
      <w:pPr>
        <w:spacing w:line="240" w:lineRule="auto"/>
        <w:ind w:firstLine="360"/>
        <w:jc w:val="both"/>
        <w:rPr>
          <w:rFonts w:ascii="Times New Roman" w:hAnsi="Times New Roman"/>
          <w:sz w:val="24"/>
          <w:szCs w:val="24"/>
        </w:rPr>
      </w:pPr>
      <w:r w:rsidRPr="00E663F4">
        <w:rPr>
          <w:rFonts w:ascii="Times New Roman" w:hAnsi="Times New Roman"/>
          <w:sz w:val="24"/>
          <w:szCs w:val="24"/>
        </w:rPr>
        <w:t>b) psihijatrijsku procjenu</w:t>
      </w:r>
    </w:p>
    <w:p w:rsidR="00D95298" w:rsidRPr="00E663F4" w:rsidRDefault="00D95298" w:rsidP="00070DA7">
      <w:pPr>
        <w:spacing w:line="240" w:lineRule="auto"/>
        <w:ind w:firstLine="360"/>
        <w:jc w:val="both"/>
        <w:rPr>
          <w:rFonts w:ascii="Times New Roman" w:hAnsi="Times New Roman"/>
          <w:sz w:val="24"/>
          <w:szCs w:val="24"/>
        </w:rPr>
      </w:pPr>
      <w:r w:rsidRPr="00E663F4">
        <w:rPr>
          <w:rFonts w:ascii="Times New Roman" w:hAnsi="Times New Roman"/>
          <w:sz w:val="24"/>
          <w:szCs w:val="24"/>
        </w:rPr>
        <w:t xml:space="preserve">Psiholozi i psihijatri navedeni u Listi stručnjaka su meritorni za kliničku procjenu rodne disforije. I psihologijska i psihijatrijska procjena podrazumijeva minimalno procjenu rodnoga identiteta i rodne disforije, anamnezu i razvoj rodno disforičnih osjećaja, utjecaj stigme pripisane rodnoj nenormativnosti na psihičko zdravlje te dostupnost obiteljske, prijateljske i vršnjačke podrške. Psihodijagnostički proces uključuje i procjenu komorbiditetnih poremećaja. Osim toga, nužno je tijekom dijagnostičkog procesa utvrditi kognitivne sposobnosti, karakteristike ličnosti, psihološku otpornost te ostale rizične i zaštitne čimbenike koji mogu olakšavati ili otežavati proces otklanjanja ili ublažavanja rodne disforije. Svakako je važno procijeniti psihosocijalnu zrelost, te realističnost planova za budućnost. Psiholozi tijekom kliničke procjene trebaju primijeniti psihodijagnostičke instrumente kojima će zahvatiti kognitivne sposobnosti, osobine ličnosti, izraženost psihopatoloških simptoma, te specifične upitnike i tehnike za procjenu rodne disforije. U nalazu je potrebno naznačiti koji su psihodijagnostički instrumenti korišteni. </w:t>
      </w:r>
    </w:p>
    <w:p w:rsidR="00D95298" w:rsidRPr="00E663F4" w:rsidRDefault="00D95298" w:rsidP="00070DA7">
      <w:pPr>
        <w:spacing w:line="240" w:lineRule="auto"/>
        <w:jc w:val="both"/>
        <w:rPr>
          <w:rFonts w:ascii="Times New Roman" w:hAnsi="Times New Roman"/>
          <w:sz w:val="24"/>
          <w:szCs w:val="24"/>
        </w:rPr>
      </w:pPr>
      <w:r w:rsidRPr="00E663F4">
        <w:rPr>
          <w:rFonts w:ascii="Times New Roman" w:hAnsi="Times New Roman"/>
          <w:sz w:val="24"/>
          <w:szCs w:val="24"/>
        </w:rPr>
        <w:t xml:space="preserve">Psihodijagnostički postupak rodne disforije je složen postupak koji zahtijeva odnos s transpolnom osobom koji obilježen povjerenjem i uvažavanjem, za što je potrebno vrijeme. Čitav postupak ne treba požurivati, ali također se ne smije nepotrebno produžavati. </w:t>
      </w:r>
    </w:p>
    <w:p w:rsidR="00D95298" w:rsidRPr="00E663F4" w:rsidRDefault="00D95298" w:rsidP="00070DA7">
      <w:pPr>
        <w:spacing w:line="240" w:lineRule="auto"/>
        <w:jc w:val="both"/>
        <w:rPr>
          <w:rFonts w:ascii="Times New Roman" w:hAnsi="Times New Roman"/>
          <w:sz w:val="24"/>
          <w:szCs w:val="24"/>
        </w:rPr>
      </w:pPr>
      <w:r w:rsidRPr="00E663F4">
        <w:rPr>
          <w:rFonts w:ascii="Times New Roman" w:hAnsi="Times New Roman"/>
          <w:sz w:val="24"/>
          <w:szCs w:val="24"/>
        </w:rPr>
        <w:t>Rezultat psihološke i psihijatrijske procjene može biti izostanak dijagnoze, zatim postavljanje službene dijagnoze koja se tiče rodne disforije i/ili postavljanje nekih drugih dijagnoza koje opisuju kognitivna i konativna obilježja i psihosocijalnu prilagodbu. Na stručnjacima za psihičko zdravlje je da kroz psihološko-psihijatrijsku egzaminaciju utvrde je li rodna disforija sekundarna u odnosu na neke druge dijagnoze ili njima točnije obuhvaćena.</w:t>
      </w:r>
    </w:p>
    <w:p w:rsidR="00D95298" w:rsidRPr="00E663F4" w:rsidRDefault="00D95298" w:rsidP="00070DA7">
      <w:pPr>
        <w:spacing w:line="240" w:lineRule="auto"/>
        <w:jc w:val="both"/>
        <w:rPr>
          <w:rFonts w:ascii="Times New Roman" w:hAnsi="Times New Roman"/>
          <w:sz w:val="24"/>
          <w:szCs w:val="24"/>
        </w:rPr>
      </w:pPr>
    </w:p>
    <w:p w:rsidR="00D95298" w:rsidRPr="00E663F4" w:rsidRDefault="00D95298" w:rsidP="00874945">
      <w:pPr>
        <w:pStyle w:val="Naslov4"/>
        <w:rPr>
          <w:rFonts w:ascii="Times New Roman" w:hAnsi="Times New Roman"/>
          <w:sz w:val="24"/>
          <w:szCs w:val="24"/>
        </w:rPr>
      </w:pPr>
      <w:r w:rsidRPr="00E663F4">
        <w:rPr>
          <w:rFonts w:ascii="Times New Roman" w:hAnsi="Times New Roman"/>
          <w:sz w:val="24"/>
          <w:szCs w:val="24"/>
        </w:rPr>
        <w:lastRenderedPageBreak/>
        <w:t>Specifičnosti psihodijagnostike kod djece i adolescenata</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Psihodijagnostički proces kod djece i adolescenata podrazumijeva uključenost oba roditelja. Pri procjenjivanju rodne disforije i psihičkoga zdravlja trebalo bi istražiti prirodu i karakteristike djetetovog ili adolescentovoga rodnoga identiteta te obaviti psihodijagnostičku i psihijatrijsku procjenu koja pokriva područja intelektualnog funkcioniranja, emocionalnoga funkcioniranja (emocionalna zrelost, stabilnost, prisustvo/odsustvo emocionalnih smetnji), socijalnog funkcioniranja (odnosi s vršnjacima, funkcioniranje u vrtiću i školi, prisustvo/odsustvo smetnji  ponašanja/prilagodbe) i obiteljskog funkcioniranja. Procjena obiteljskog funkcioniranja treba uključivati procjenu rizičnih i zaštitnih faktora, odnosno evaluaciju jačih i slabijih strana funkcioniranja obitelji (vezanih uz međusobne odnose roditelja, odnos roditelja prema djetetu i kapacitete roditelja za pružanje podrške djetetu). Kod procjene treba imati na umu da su relativno česti emocionalni problemi i problemi u ponašanju, a mogu biti prisutni i neriješeni problemi u djetetovom ili adolescentovom okruženju (de Vries i sur.,  2011; Di Ceglie i Thümmel, 2006; Wallien, Swaab i Cohen-Kettenis, 2007).</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Za trajanja procjene, specifično adolescenata, valjalo bi njih i njihove obitelji informirati o mogućnostima i ograničenjima različitih tretmana. To je neophodno kako bi se dao informirani pristanak, ali važno je i za samu procjenu. Način na koji osoba reagira na informacije o realnosti prilagodbe spola može biti dijagnostički informativan. Točna informacija može i promijeniti želju mlade osobe za određenim tretmanom ako je ta želja bila utemeljena na nerealnim očekivanjima od samoga tretmana.</w:t>
      </w:r>
    </w:p>
    <w:p w:rsidR="00D95298" w:rsidRPr="00E663F4" w:rsidRDefault="00D95298" w:rsidP="00AC1623">
      <w:pPr>
        <w:pStyle w:val="Naslov4"/>
        <w:rPr>
          <w:rFonts w:ascii="Times New Roman" w:hAnsi="Times New Roman"/>
          <w:sz w:val="24"/>
          <w:szCs w:val="24"/>
        </w:rPr>
      </w:pPr>
      <w:r w:rsidRPr="00E663F4">
        <w:rPr>
          <w:rFonts w:ascii="Times New Roman" w:hAnsi="Times New Roman"/>
          <w:sz w:val="24"/>
          <w:szCs w:val="24"/>
        </w:rPr>
        <w:t>Nalazi psihodijagnostičkih procjena</w:t>
      </w:r>
    </w:p>
    <w:p w:rsidR="00D95298" w:rsidRPr="00E663F4" w:rsidRDefault="00D95298" w:rsidP="00070DA7">
      <w:pPr>
        <w:spacing w:line="240" w:lineRule="auto"/>
        <w:rPr>
          <w:rFonts w:ascii="Times New Roman" w:hAnsi="Times New Roman"/>
          <w:sz w:val="24"/>
          <w:szCs w:val="24"/>
        </w:rPr>
      </w:pPr>
      <w:r w:rsidRPr="00E663F4">
        <w:rPr>
          <w:rFonts w:ascii="Times New Roman" w:hAnsi="Times New Roman"/>
          <w:sz w:val="24"/>
          <w:szCs w:val="24"/>
        </w:rPr>
        <w:t xml:space="preserve">Psihodijagnostičke procjene psihologa i psihijatra završavaju mišljenjem koja služe: </w:t>
      </w:r>
    </w:p>
    <w:p w:rsidR="00D95298" w:rsidRPr="00E663F4" w:rsidRDefault="00D95298" w:rsidP="00070DA7">
      <w:pPr>
        <w:spacing w:line="240" w:lineRule="auto"/>
        <w:rPr>
          <w:rFonts w:ascii="Times New Roman" w:hAnsi="Times New Roman"/>
          <w:sz w:val="24"/>
          <w:szCs w:val="24"/>
        </w:rPr>
      </w:pPr>
      <w:r w:rsidRPr="00E663F4">
        <w:rPr>
          <w:rFonts w:ascii="Times New Roman" w:hAnsi="Times New Roman"/>
          <w:sz w:val="24"/>
          <w:szCs w:val="24"/>
        </w:rPr>
        <w:t xml:space="preserve">a) pri podnošenju zahtijeva Nacionalnom zdravstvenom vijeću </w:t>
      </w:r>
    </w:p>
    <w:p w:rsidR="00D95298" w:rsidRPr="00E663F4" w:rsidRDefault="00D95298" w:rsidP="00070DA7">
      <w:pPr>
        <w:spacing w:line="240" w:lineRule="auto"/>
        <w:rPr>
          <w:rFonts w:ascii="Times New Roman" w:hAnsi="Times New Roman"/>
          <w:sz w:val="24"/>
          <w:szCs w:val="24"/>
        </w:rPr>
      </w:pPr>
      <w:r w:rsidRPr="00E663F4">
        <w:rPr>
          <w:rFonts w:ascii="Times New Roman" w:hAnsi="Times New Roman"/>
          <w:sz w:val="24"/>
          <w:szCs w:val="24"/>
        </w:rPr>
        <w:t xml:space="preserve">b) kao stručno mišljenje za daljnje hormonalne i/ili kirurške tretmane.   </w:t>
      </w:r>
    </w:p>
    <w:p w:rsidR="00D95298" w:rsidRPr="00E663F4" w:rsidRDefault="00D95298" w:rsidP="00E663F4">
      <w:pPr>
        <w:spacing w:line="240" w:lineRule="auto"/>
        <w:jc w:val="both"/>
        <w:rPr>
          <w:rFonts w:ascii="Times New Roman" w:hAnsi="Times New Roman"/>
          <w:sz w:val="24"/>
          <w:szCs w:val="24"/>
        </w:rPr>
      </w:pPr>
      <w:r w:rsidRPr="00E663F4">
        <w:rPr>
          <w:rFonts w:ascii="Times New Roman" w:hAnsi="Times New Roman"/>
          <w:sz w:val="24"/>
          <w:szCs w:val="24"/>
        </w:rPr>
        <w:t>Psiholozi i psihijatri trebaju tijesno surađivati, ali biti i neovisni u procjeni. Ako dođe do nesuglasja u dijagnozi i/ili preporukama za daljnje tretmane treba konzultirati ostale stručnjake s liste.</w:t>
      </w:r>
    </w:p>
    <w:p w:rsidR="00D95298" w:rsidRPr="00E663F4" w:rsidRDefault="00D95298" w:rsidP="00E663F4">
      <w:pPr>
        <w:spacing w:line="240" w:lineRule="auto"/>
        <w:jc w:val="both"/>
        <w:rPr>
          <w:rFonts w:ascii="Times New Roman" w:hAnsi="Times New Roman"/>
          <w:sz w:val="24"/>
          <w:szCs w:val="24"/>
        </w:rPr>
      </w:pPr>
      <w:r w:rsidRPr="00E663F4">
        <w:rPr>
          <w:rFonts w:ascii="Times New Roman" w:hAnsi="Times New Roman"/>
          <w:sz w:val="24"/>
          <w:szCs w:val="24"/>
        </w:rPr>
        <w:t>Svi stručnjaci s Liste stručnjaka trebaju međusobno surađivati i po potrebi koordinirati te voditi klinički dijalog. Otvorena i stalna komunikacija nužna je za konzultiranje, upućivanje i rješavanje problema do kojih može doći u različitim fazama tranzicije.</w:t>
      </w:r>
    </w:p>
    <w:p w:rsidR="00D95298" w:rsidRPr="00E663F4" w:rsidRDefault="00D95298" w:rsidP="00AC1623">
      <w:pPr>
        <w:pStyle w:val="Naslov4"/>
        <w:rPr>
          <w:rFonts w:ascii="Times New Roman" w:hAnsi="Times New Roman"/>
          <w:sz w:val="24"/>
          <w:szCs w:val="24"/>
        </w:rPr>
      </w:pPr>
      <w:r w:rsidRPr="00E663F4">
        <w:rPr>
          <w:rFonts w:ascii="Times New Roman" w:hAnsi="Times New Roman"/>
          <w:sz w:val="24"/>
          <w:szCs w:val="24"/>
        </w:rPr>
        <w:t xml:space="preserve">Vođenje Registra </w:t>
      </w:r>
      <w:r w:rsidR="003A151D" w:rsidRPr="00E663F4">
        <w:rPr>
          <w:rFonts w:ascii="Times New Roman" w:hAnsi="Times New Roman"/>
          <w:sz w:val="24"/>
          <w:szCs w:val="24"/>
        </w:rPr>
        <w:t xml:space="preserve"> </w:t>
      </w:r>
      <w:r w:rsidRPr="00E663F4">
        <w:rPr>
          <w:rFonts w:ascii="Times New Roman" w:hAnsi="Times New Roman"/>
          <w:sz w:val="24"/>
          <w:szCs w:val="24"/>
        </w:rPr>
        <w:t>transpolnih i transrodnih osoba koje su zatražile psihosocijalnu i zdravstvenu skrb</w:t>
      </w:r>
    </w:p>
    <w:p w:rsidR="00D95298" w:rsidRPr="00E663F4" w:rsidRDefault="00D95298" w:rsidP="00E663F4">
      <w:pPr>
        <w:spacing w:line="240" w:lineRule="auto"/>
        <w:jc w:val="both"/>
        <w:rPr>
          <w:rFonts w:ascii="Times New Roman" w:hAnsi="Times New Roman"/>
          <w:sz w:val="24"/>
          <w:szCs w:val="24"/>
        </w:rPr>
      </w:pPr>
      <w:r w:rsidRPr="00E663F4">
        <w:rPr>
          <w:rFonts w:ascii="Times New Roman" w:hAnsi="Times New Roman"/>
          <w:sz w:val="24"/>
          <w:szCs w:val="24"/>
        </w:rPr>
        <w:t xml:space="preserve">Psiholozi i psihijatri s Liste stručnjaka trebaju voditi Registar u koji će biti upisivani osnovni podaci o pacijentu, rezultati psihologijskog testiranja, izraženost rodne disforije, komorbiditetne dijagnoze te ostali relevanti podaci. Svrha ovog registra je standardizirano prikupljanje podataka koji mogu poslužiti u budućim poboljšanjima skrbi za transpolne i transrodne osobe.    </w:t>
      </w:r>
    </w:p>
    <w:p w:rsidR="00D95298" w:rsidRPr="00E663F4" w:rsidRDefault="00D95298" w:rsidP="00AC1623">
      <w:pPr>
        <w:pStyle w:val="Naslov3"/>
        <w:rPr>
          <w:rFonts w:ascii="Times New Roman" w:hAnsi="Times New Roman"/>
          <w:sz w:val="24"/>
          <w:szCs w:val="24"/>
        </w:rPr>
      </w:pPr>
      <w:bookmarkStart w:id="28" w:name="_Toc429254721"/>
      <w:bookmarkStart w:id="29" w:name="_Toc431396770"/>
      <w:bookmarkStart w:id="30" w:name="_Toc431396893"/>
      <w:r w:rsidRPr="00E663F4">
        <w:rPr>
          <w:rFonts w:ascii="Times New Roman" w:hAnsi="Times New Roman"/>
          <w:sz w:val="24"/>
          <w:szCs w:val="24"/>
        </w:rPr>
        <w:t>2.  Psihoedukativne, savjetodavne i psihoterapijske intervencije</w:t>
      </w:r>
      <w:bookmarkEnd w:id="28"/>
      <w:bookmarkEnd w:id="29"/>
      <w:bookmarkEnd w:id="30"/>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 xml:space="preserve">Psiholozi i psihijatri svakako trebaju provesti proces savjetovanja i psihoedukacije s transpolnim/transrodnim osobama, a s onima kojima je to potrebno i proces psihoterapije.  </w:t>
      </w:r>
      <w:r w:rsidRPr="00E663F4">
        <w:rPr>
          <w:rFonts w:ascii="Times New Roman" w:hAnsi="Times New Roman"/>
          <w:sz w:val="24"/>
          <w:szCs w:val="24"/>
        </w:rPr>
        <w:lastRenderedPageBreak/>
        <w:t>Snažno se preporučuje da pristup u bude kulturalno osjetljiv i prilagođen realnim društvenim uvjetima u kojima klijent živi (Maguen, Shipherd i Harris, 2005), a provođen u trans-afirmativnom ozračju, bez predrasuda i stigmatizacije. Savjetodavne i psihoedukativne aktivnosti je moguće provesti tijekom psihodijagnostičkog procesa ili nakon njega, dok psihoterapijski proces zahtijeva u pravilu duže vrijeme.</w:t>
      </w:r>
    </w:p>
    <w:p w:rsidR="00D95298" w:rsidRPr="00E663F4" w:rsidRDefault="00D95298" w:rsidP="00AC1623">
      <w:pPr>
        <w:pStyle w:val="Naslov4"/>
        <w:rPr>
          <w:rFonts w:ascii="Times New Roman" w:hAnsi="Times New Roman"/>
          <w:sz w:val="24"/>
          <w:szCs w:val="24"/>
        </w:rPr>
      </w:pPr>
      <w:r w:rsidRPr="00E663F4">
        <w:rPr>
          <w:rFonts w:ascii="Times New Roman" w:hAnsi="Times New Roman"/>
          <w:sz w:val="24"/>
          <w:szCs w:val="24"/>
        </w:rPr>
        <w:t>Psihoedukacija</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 xml:space="preserve">Važan zadatak stručnjaka za psihičko zdravlje jest educirati transpolne i transrodne osobe koje su zatražile psihosocijalnu skrb  o raznolikosti rodnih identiteta i izražavanja te o različitim opcijama koje imaju na raspolaganju za ublažavanje rodne disforije. Kako značajan dio problema transspolnih osoba proizlazi iz stigmatizacije od ranog djetinjstva, te internalizirane transfobije (srama i straha radi svog rodnog identiteta) psihoedukacija o samom poremećaju, njegovoj biološkoj etiologiji, rijetkosti i nerazumijevanju od strane bliže i dalje okoline, te patogenom utjecaju okoline je vrlo važna. Već sama psihoedukacija dovodi do umirivanje osjećaja bespomoćnosti, srama, krivnje i tjeskobe, što povratno utječe na više prosocijalnih ponašanja. Također je važno u edukaciju uključiti bliske osobe (obitelj,i prijatelji) jer su one prirodni izvori socijalne podrške za transpolnu osobu. </w:t>
      </w:r>
      <w:r w:rsidRPr="00E663F4">
        <w:rPr>
          <w:rFonts w:ascii="Times New Roman" w:hAnsi="Times New Roman"/>
          <w:i/>
          <w:sz w:val="24"/>
          <w:szCs w:val="24"/>
        </w:rPr>
        <w:t>Model manjinskog stresa</w:t>
      </w:r>
      <w:r w:rsidRPr="00E663F4">
        <w:rPr>
          <w:rFonts w:ascii="Times New Roman" w:hAnsi="Times New Roman"/>
          <w:sz w:val="24"/>
          <w:szCs w:val="24"/>
        </w:rPr>
        <w:t xml:space="preserve"> (Meyer, 1995) može poslužiti kao izvrstan okvir za psihoedukaciju. Prema ovom modelu, pripadnici manjinskih skupina doživljavaju niz stresnih događaja u vidu neprihvaćanja, zadirkivanja, pa čak i zlostavljanja koji se javljaju uz svakodnevne životne stresove. Stoga su pripadnici manjine kronično izloženi značajno višim razinama stresa što nepovoljno utječe na njihovu kvalitetu života i psihofizičko zdravlje. Osim toga, internalizira se negativni doživljaj zbog konotacije koju manjina ima, pa se transspolne osobe dodatno iscrpljuju u skrivanju svog manjinskog statusa. Rješenje je, prema ovome modelu, na osobnom planu smanjiti razinu samostigmatizacije i predrasuda, te s ponosom prihvatiti svoj manjinski identitet. Na razini društvene zajednice treba raditi na promociji različitosti, toleranciji i osuđivanju svakog oblika diskriminacije. Ovaj model treba jasno objasniti transpolnom /transrodnom klijentu i njegovim bližnjima te ih tijekom procesa psihoedukacije poticati na promjenu vjerovanja obojenih predrasudama i stereotipima s alternativnim, tolerantnim i prihvaćajućim vjerovanjima. Također treba otvoriti pitanja kratkoročnih i  dugoročnih implikacija svake prilagodbe rodne uloge i svake upotrebe medicinskih intervencija. Te implikacije mogu biti psihološke, socijalne, fizičke, seksualne, profesionalne, financijske i pravne (Bockting, Knudson i Goldberg, 2006; Lev, 2004). </w:t>
      </w:r>
    </w:p>
    <w:p w:rsidR="00D95298" w:rsidRPr="00E663F4" w:rsidRDefault="00D95298" w:rsidP="00AC1623">
      <w:pPr>
        <w:pStyle w:val="Naslov4"/>
        <w:rPr>
          <w:rFonts w:ascii="Times New Roman" w:hAnsi="Times New Roman"/>
          <w:sz w:val="24"/>
          <w:szCs w:val="24"/>
        </w:rPr>
      </w:pPr>
      <w:r w:rsidRPr="00E663F4">
        <w:rPr>
          <w:rFonts w:ascii="Times New Roman" w:hAnsi="Times New Roman"/>
          <w:sz w:val="24"/>
          <w:szCs w:val="24"/>
        </w:rPr>
        <w:t>Psihološko savjetovanje</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 xml:space="preserve">Sa svim transpolnim/transrodnim osobama koje su zatražile psihosocijalnu skrb valja provesti psihološko savjetovanje vodeći se činjenicom da se u pravilu radi o osobama koje se dugotrajno bore s pitanjem osobnog identiteta, koje su vjerojatno bile izložene stigmatizaciji i samostigmatizaciji i pred kojima je niz važnih životnih odluka.  Glavni cilj savjetodavnog procesa jest ohrabriti, voditi i pomoći osobi u donošenju informiranih odluka kojima će ostvariti bolju kvalitetu života.  </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 xml:space="preserve">Neke od tema koje se trebaju dotaknuti tijekom savjetovanja sa svim transpolnim/transrodnim osobama su: načini na koji se rodna disforija može ublažiti (potpuna tranzicija je samo jedan i to ekstreman način); očekivanja od tranzicije; odnos s obitelji i bližnjima, te stvaranje </w:t>
      </w:r>
      <w:r w:rsidRPr="00E663F4">
        <w:rPr>
          <w:rFonts w:ascii="Times New Roman" w:hAnsi="Times New Roman"/>
          <w:sz w:val="24"/>
          <w:szCs w:val="24"/>
        </w:rPr>
        <w:lastRenderedPageBreak/>
        <w:t>podržavajućeg socijalnog okruženja; seksualnost; potomstvo; financijska situacija; ciljevi u ostalim područjima života. Osim ovoga, stručnjak za mentalno zdravlje svakako treba posvetiti vrijeme i ostalim, za klijenta važnim temama.</w:t>
      </w:r>
    </w:p>
    <w:p w:rsidR="00D95298" w:rsidRPr="00E663F4" w:rsidRDefault="00D95298" w:rsidP="00070DA7">
      <w:pPr>
        <w:rPr>
          <w:rFonts w:ascii="Times New Roman" w:hAnsi="Times New Roman"/>
          <w:sz w:val="24"/>
          <w:szCs w:val="24"/>
        </w:rPr>
      </w:pPr>
      <w:r w:rsidRPr="00E663F4">
        <w:rPr>
          <w:rFonts w:ascii="Times New Roman" w:hAnsi="Times New Roman"/>
          <w:sz w:val="24"/>
          <w:szCs w:val="24"/>
        </w:rPr>
        <w:t xml:space="preserve">Tijekom ovoga procesa osobu se može uputiti na individualnu, obiteljsku ili grupnu terapiju i/ili na grupe vršnjačke podrške. </w:t>
      </w:r>
    </w:p>
    <w:p w:rsidR="00D95298" w:rsidRPr="00E663F4" w:rsidRDefault="00D95298" w:rsidP="00AC1623">
      <w:pPr>
        <w:pStyle w:val="Naslov4"/>
        <w:rPr>
          <w:rFonts w:ascii="Times New Roman" w:hAnsi="Times New Roman"/>
          <w:sz w:val="24"/>
          <w:szCs w:val="24"/>
        </w:rPr>
      </w:pPr>
      <w:r w:rsidRPr="00E663F4">
        <w:rPr>
          <w:rFonts w:ascii="Times New Roman" w:hAnsi="Times New Roman"/>
          <w:sz w:val="24"/>
          <w:szCs w:val="24"/>
        </w:rPr>
        <w:t>Psihoterapija</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Opći je cilj psihoterapije pronaći način za poboljšanje cjelokupnoga stanja, kvalitete života i samoispunjenja. Cilj psihoterapije nije promjena rodnoga identiteta osobe, naprotiv; psihoterapija može pomoći osobi da istraži svoju nelagodu s rodom i pronađe način za ublažavanje rodne disforije, ako je ona prisutna (Bockting, Knudson i Goldberg, 2006; Bockting i Coleman. 2007; Fraser, 2009; Lev, 2004). Obično je konačni cilj tretmana pružanje pomoći transpolnim/ transrodnim osobama u postizanju dugoročnoga osjećaja zadovoljstva u izražavanju vlastitih rodnih identiteta s realističnim šansama za ostvarivanje uspjeha u međuljudskim odnosima, obrazovanju i radu. Psihoterapija također može biti od pomoći ako dijagnostički postupci pokažu da je kod osobe istovremeno prisutno više tegoba s psihičkim zdravljem (npr. anksioznost, depresija).</w:t>
      </w:r>
    </w:p>
    <w:p w:rsidR="00D95298" w:rsidRPr="00E663F4" w:rsidRDefault="00D95298" w:rsidP="00AC1623">
      <w:pPr>
        <w:pStyle w:val="Naslov4"/>
        <w:rPr>
          <w:rFonts w:ascii="Times New Roman" w:hAnsi="Times New Roman"/>
          <w:sz w:val="24"/>
          <w:szCs w:val="24"/>
        </w:rPr>
      </w:pPr>
      <w:r w:rsidRPr="00E663F4">
        <w:rPr>
          <w:rFonts w:ascii="Times New Roman" w:hAnsi="Times New Roman"/>
          <w:sz w:val="24"/>
          <w:szCs w:val="24"/>
        </w:rPr>
        <w:t xml:space="preserve">Specifičnosti psihološkog savjetovanja,  psihoedukacije djece i adolescenata </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Osnovni cilj psiholoških intervencija jest pomoći roditeljima i ostalim članovima obitelji da uvaže i ublaže probleme svoje rodno disforične djece ili adolescenata/ica. Obitelji igraju važnu ulogu u psihološkome zdravlju i dobrobiti mladih osoba (Brill i Pepper, 2008; Lev, 2004). To također vrijedi za ostale važne osobe iz djetetove okoline kao što su vršnjaci, učitelji i slično.</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 xml:space="preserve">Psihoterapija bi se trebala fokusirati na ublažavanje djetetovog ili adolescentovoga stresa povezanoga s rodnom disforijom te ublažavanje eventualnih ostalih psihosocijalnih teškoća. Mladim osobama koje poduzimaju prilagodbu spola, psihoterapija može pružati podršku prije, za vrijeme i nakon zahvata. O različitim psihoterapijskim pristupima takvoj situaciji nema objavljenih službenih evaluacija, ali u literaturi je opisano nekoliko metoda savjetovanja (Cohen-Kettenis, 2006; de Vries, Cohen-Kettenis i Delemarre-van de Waal, 2006; Di Ceglie i Thümmel, 2006; Hill i sur. 2010; Malpas, 2011; Menvielle i Tuerk, 2002; Rosenberg, 2002; Vanderburgh, 2009; Zucker, 2006). </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Članovim obitelji treba pružati podršku u njihovome suočavanju s nesigurnostima i tjeskobom kada je posrijedi psihološki aspekt vezan za spola njihove djece. Treba ih podupirati i u pomaganju mladim osobama da razviju pozitivnu sliku o sebi.</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 xml:space="preserve">Neka djeca izraze želju za socijalnom tranzicijom u drukčiju rodnu ulogu puno prije puberteta. Nekoj djeci to može značiti izražavanje vlastitoga rodnoga identiteta. Druga će djeca na takav korak biti motivirana nekim drugim razlozima. Obitelji se međusobno razlikuju po razmjeru u kojem dopuštaju svojoj djeci da poduzmu socijalnu tranziciju u drukčiju rodnu ulogu. U nekim se obiteljima socijalna tranzicija uspješno odvije u ranome djetinjstvu. Posrijedi je kontroverzno pitanje o kojem stručnjaci imaju oprečna mišljenja. Postojeći dokazi su nedovoljni za predviđanje dugoročnih ishoda tranzicije u drukčiju rodnu ulogu koja je </w:t>
      </w:r>
      <w:r w:rsidRPr="00E663F4">
        <w:rPr>
          <w:rFonts w:ascii="Times New Roman" w:hAnsi="Times New Roman"/>
          <w:sz w:val="24"/>
          <w:szCs w:val="24"/>
        </w:rPr>
        <w:lastRenderedPageBreak/>
        <w:t xml:space="preserve">dovršena tijekom ranoga djetinjstva. Istraživanje ishoda kod djece koja su u ranoj dobi dovršila socijalnu tranziciju uvelike bi utjecalo na buduće kliničke preporuke. Navedeno je važno naglasiti u procesu psihoedukacije i savjetovanja, posebno predpubertetske djece i njihovih roditelja. </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 xml:space="preserve">Tijekom procesa savjetovanja treba pomoći obiteljima pri odlučivanju o vremenskome okviru i samome odvijanju prilagodbi rodne uloge njihove djece. Roditeljima valja pružati informacije i pomagati im da razmotre potencijalne prednosti i nedostatke svake pojedine odluke. U tome je pogledu važna ranije opisana relativno niska stopa zadržavanja rodne disforije iz djetinjstva u odrasloj dobi (Drummond i sur., 2008; Wallien i Cohen-Kettenis, 2008). Povratak u prvotnu rodnu ulogu može osobu izložiti snažnom stresu te čak rezultirati i time da samo dijete odgodi tu drugu socijalnu tranziciju (Steensma i Cohen-Kettenis, 2011). Zbog toga bi roditelji trebali prilagodbu rodne uloge predstaviti kao jedno istraživanje života u drukčijoj rodnoj ulozi, a ne kao ireverzibilnu situaciju. Stručnjaci/kinje za psihičko zdravlje mogu pomoći roditeljima da dođu do nekih srednjih rješenja ili kompromisa (npr. prilagodba rodne uloge samo tijekom praznika, u određenom okruženju ili samo u određenim aspektima rodne uloge). Razina kompromisa treba biti usklađena sa potrebama djeteta, ali i sa karakteristikama socijalne okoline koja može olakšati ili otežati prilagodbu. Također je važno da roditelji djeci eksplicitno daju do znanja da je moguć povratak u originalnu rodnu ulogu. </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Stručnjaci trebaju savjetovati i podupirati obitelj prilikom razmatranja opcija i implikacija tranzicije bez obzira na to kakvu će odluku obitelj donijeti (određivanje vremenskog okvira i razmjer tranzicije). U slučaju da roditelji svojoj djeci ne dopuste prijelaz iz jedne rodne uloge u drugu, možda će im biti potrebno savjetovanje o načinu na koji mogu brižno i nježno ostvariti potrebe svoje djece osiguravši im mogućnost da rodne osjećaje i ponašanje istraže u sigurnome okruženju. U slučaju da roditelji svojoj djeci dopuste prijelaz iz jedne rodne uloge u drugu, možda će im biti potrebno savjetovanje o načinu na koji mogu to iskustvo učiniti pozitivnim za djecu. Primjerice, možda će im trebati podrška oko upotrebe ispravnih zamjenica, u stvaranju okruženja koje je sigurno i ispunjeno podrškom za njihovu djecu (primjerice, u školi i vršnjačkome okruženju) te u komunikaciji s drugim ljudima iz života njihovoga djeteta. U dogovoru s roditeljima treba voditi računa o načinu pružanja informacija osobama iz djetetove okoline: vršnjacima, odgajateljima u vrtiću, nastavnicima u školama. U svakome slučaju, jednom kada se dijete počne približavati pubertetskoj dobi, bit će potrebne daljnje procjene jer će na važnosti dobivati i opcije različitih fizičkih intervencija.</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Pubertet predstavlja rizično razdoblje za psihičko zdravlje transpolnih/transrodnih mladih osoba. Ako se rodna disforija pogoršava s pubertetom gotovo je sigurno da se radi o kroničnom stanju. Početak biološkog puberteta će za takvu osobu biti izvor visoke razine stresa. Rano (pravovremeno) uključivanje obitelji u sustav pružanja psihološke podrške može prevenirati ili ublažiti psihološke/emocionalne teškoće u tom razdoblju. Također, započinjanje s hormonalnom terapijom u ovoj dobi ima zaštitnu ulogu za kasnije psihofizičko zdravlje pojedinca.</w:t>
      </w:r>
    </w:p>
    <w:p w:rsidR="00D95298" w:rsidRPr="00E663F4" w:rsidRDefault="00D95298" w:rsidP="00AC1623">
      <w:pPr>
        <w:pStyle w:val="Naslov3"/>
        <w:rPr>
          <w:rFonts w:ascii="Times New Roman" w:hAnsi="Times New Roman"/>
          <w:sz w:val="24"/>
          <w:szCs w:val="24"/>
        </w:rPr>
      </w:pPr>
      <w:bookmarkStart w:id="31" w:name="_Toc429254722"/>
      <w:bookmarkStart w:id="32" w:name="_Toc431396771"/>
      <w:bookmarkStart w:id="33" w:name="_Toc431396894"/>
      <w:r w:rsidRPr="00E663F4">
        <w:rPr>
          <w:rFonts w:ascii="Times New Roman" w:hAnsi="Times New Roman"/>
          <w:sz w:val="24"/>
          <w:szCs w:val="24"/>
        </w:rPr>
        <w:lastRenderedPageBreak/>
        <w:t>3. Praćenje tijekom života</w:t>
      </w:r>
      <w:bookmarkEnd w:id="31"/>
      <w:bookmarkEnd w:id="32"/>
      <w:bookmarkEnd w:id="33"/>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Istraživanja pokazuju da su transpolne/transrodne osobe u većem riziku za psihičke i tjelesne smetnje i po obavljenoj tranziciji te je stoga važno održati odnos povjerenja koji će osigurati mogućnost javljanja u različitim fazama života i radi različitih problema.</w:t>
      </w:r>
    </w:p>
    <w:p w:rsidR="00D95298" w:rsidRPr="00E663F4" w:rsidRDefault="00D95298" w:rsidP="00070DA7">
      <w:pPr>
        <w:rPr>
          <w:rFonts w:ascii="Times New Roman" w:hAnsi="Times New Roman"/>
          <w:sz w:val="24"/>
          <w:szCs w:val="24"/>
        </w:rPr>
      </w:pPr>
    </w:p>
    <w:p w:rsidR="00D95298" w:rsidRPr="00E663F4" w:rsidRDefault="00D95298" w:rsidP="00650A48">
      <w:pPr>
        <w:pStyle w:val="Naslov2"/>
        <w:rPr>
          <w:rFonts w:ascii="Times New Roman" w:hAnsi="Times New Roman"/>
          <w:sz w:val="24"/>
          <w:szCs w:val="24"/>
        </w:rPr>
      </w:pPr>
      <w:bookmarkStart w:id="34" w:name="_Toc429254723"/>
      <w:bookmarkStart w:id="35" w:name="_Toc431396772"/>
      <w:bookmarkStart w:id="36" w:name="_Toc431396895"/>
      <w:r w:rsidRPr="00E663F4">
        <w:rPr>
          <w:rFonts w:ascii="Times New Roman" w:hAnsi="Times New Roman"/>
          <w:sz w:val="24"/>
          <w:szCs w:val="24"/>
        </w:rPr>
        <w:t>Endokrinološka dijagnostika i tretman</w:t>
      </w:r>
      <w:bookmarkEnd w:id="34"/>
      <w:bookmarkEnd w:id="35"/>
      <w:bookmarkEnd w:id="36"/>
    </w:p>
    <w:p w:rsidR="001E4D64" w:rsidRPr="00E663F4" w:rsidRDefault="001E4D64" w:rsidP="001E4D64">
      <w:pPr>
        <w:spacing w:line="360" w:lineRule="auto"/>
        <w:jc w:val="both"/>
        <w:rPr>
          <w:rFonts w:ascii="Times New Roman" w:hAnsi="Times New Roman"/>
          <w:sz w:val="24"/>
          <w:szCs w:val="24"/>
        </w:rPr>
      </w:pPr>
    </w:p>
    <w:p w:rsidR="001E4D64" w:rsidRPr="00E663F4" w:rsidRDefault="001E4D64" w:rsidP="001E4D64">
      <w:pPr>
        <w:pStyle w:val="Naslov3"/>
        <w:rPr>
          <w:rFonts w:ascii="Times New Roman" w:hAnsi="Times New Roman"/>
          <w:sz w:val="24"/>
          <w:szCs w:val="24"/>
        </w:rPr>
      </w:pPr>
      <w:bookmarkStart w:id="37" w:name="_Toc431396773"/>
      <w:bookmarkStart w:id="38" w:name="_Toc431396896"/>
      <w:r w:rsidRPr="00E663F4">
        <w:rPr>
          <w:rFonts w:ascii="Times New Roman" w:hAnsi="Times New Roman"/>
          <w:sz w:val="24"/>
          <w:szCs w:val="24"/>
        </w:rPr>
        <w:t>Medicinska nužnost hormonske terapije</w:t>
      </w:r>
      <w:bookmarkEnd w:id="37"/>
      <w:bookmarkEnd w:id="38"/>
    </w:p>
    <w:p w:rsidR="001E4D64" w:rsidRPr="00E663F4" w:rsidRDefault="001E4D64"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Feminizirajuća/maskulinizirajuća hormonska terapija – primjena egzogenih agensa s hormonalnim učincima za izazivanje prilagodbi u pravcu feminizacije ili maskulinizacije – medicinski je nužna intervencija za mnoge transpolne, transrodne i rodno nenormativne osobe s rodnom disforijom (Newfield, Hart, Dibble i Kohler, 2006). </w:t>
      </w:r>
    </w:p>
    <w:p w:rsidR="001E4D64" w:rsidRPr="00E663F4" w:rsidRDefault="001E4D64" w:rsidP="00E663F4">
      <w:pPr>
        <w:spacing w:line="360" w:lineRule="auto"/>
        <w:jc w:val="both"/>
        <w:rPr>
          <w:rFonts w:ascii="Times New Roman" w:hAnsi="Times New Roman"/>
          <w:sz w:val="24"/>
          <w:szCs w:val="24"/>
          <w:lang w:val="es-ES"/>
        </w:rPr>
      </w:pPr>
      <w:r w:rsidRPr="00E663F4">
        <w:rPr>
          <w:rFonts w:ascii="Times New Roman" w:hAnsi="Times New Roman"/>
          <w:sz w:val="24"/>
          <w:szCs w:val="24"/>
          <w:lang w:val="es-ES"/>
        </w:rPr>
        <w:t xml:space="preserve">Hormonska terapija mora biti individualizirana u skladu s ciljevima osobe, omjeru rizika i koristi kod lijekova, prisutnosti drugih medicinskih stanja te analizi socijalnih i ekonomskih posljedica. Hormonska terapija može u značajnoj mjeri pružiti olakšanje osobama koje ne žele obaviti tranziciju u drukčiju socijalnu rodnu ulogu ili podvrgnuti se kirurškim zahvatima, ali i onima koji/e to nisu u mogućnosti obaviti (Meyer III, 2009). </w:t>
      </w:r>
    </w:p>
    <w:p w:rsidR="001E4D64" w:rsidRPr="00E663F4" w:rsidRDefault="001E4D64" w:rsidP="001E4D64">
      <w:pPr>
        <w:pStyle w:val="Naslov3"/>
        <w:rPr>
          <w:rFonts w:ascii="Times New Roman" w:hAnsi="Times New Roman"/>
          <w:sz w:val="24"/>
          <w:szCs w:val="24"/>
          <w:lang w:val="es-ES"/>
        </w:rPr>
      </w:pPr>
      <w:bookmarkStart w:id="39" w:name="_Toc431396774"/>
      <w:bookmarkStart w:id="40" w:name="_Toc431396897"/>
      <w:r w:rsidRPr="00E663F4">
        <w:rPr>
          <w:rFonts w:ascii="Times New Roman" w:hAnsi="Times New Roman"/>
          <w:sz w:val="24"/>
          <w:szCs w:val="24"/>
          <w:lang w:val="es-ES"/>
        </w:rPr>
        <w:t>Kriteriji za terapiju</w:t>
      </w:r>
      <w:bookmarkEnd w:id="39"/>
      <w:bookmarkEnd w:id="40"/>
      <w:r w:rsidR="0098062A" w:rsidRPr="00E663F4">
        <w:rPr>
          <w:rFonts w:ascii="Times New Roman" w:hAnsi="Times New Roman"/>
          <w:sz w:val="24"/>
          <w:szCs w:val="24"/>
          <w:lang w:val="es-ES"/>
        </w:rPr>
        <w:t xml:space="preserve"> s hormonskim učinckima</w:t>
      </w:r>
    </w:p>
    <w:p w:rsidR="001E4D64" w:rsidRPr="00E663F4" w:rsidRDefault="001E4D64" w:rsidP="001E4D64">
      <w:pPr>
        <w:spacing w:line="360" w:lineRule="auto"/>
        <w:jc w:val="both"/>
        <w:rPr>
          <w:rFonts w:ascii="Times New Roman" w:hAnsi="Times New Roman"/>
          <w:sz w:val="24"/>
          <w:szCs w:val="24"/>
          <w:lang w:val="es-ES"/>
        </w:rPr>
      </w:pPr>
      <w:r w:rsidRPr="00E663F4">
        <w:rPr>
          <w:rFonts w:ascii="Times New Roman" w:hAnsi="Times New Roman"/>
          <w:sz w:val="24"/>
          <w:szCs w:val="24"/>
          <w:lang w:val="es-ES"/>
        </w:rPr>
        <w:t xml:space="preserve">Hormonsku terapiju moguće je započeti nakon što provedenog postupka psihodijagnostike i psihološkog savjetovanja. </w:t>
      </w:r>
    </w:p>
    <w:p w:rsidR="001E4D64" w:rsidRPr="00E663F4" w:rsidRDefault="0098062A" w:rsidP="001E4D64">
      <w:pPr>
        <w:spacing w:line="360" w:lineRule="auto"/>
        <w:jc w:val="both"/>
        <w:rPr>
          <w:rFonts w:ascii="Times New Roman" w:hAnsi="Times New Roman"/>
          <w:b/>
          <w:sz w:val="24"/>
          <w:szCs w:val="24"/>
          <w:lang w:val="es-ES"/>
        </w:rPr>
      </w:pPr>
      <w:r w:rsidRPr="00E663F4">
        <w:rPr>
          <w:rFonts w:ascii="Times New Roman" w:hAnsi="Times New Roman"/>
          <w:b/>
          <w:sz w:val="24"/>
          <w:szCs w:val="24"/>
          <w:lang w:val="es-ES"/>
        </w:rPr>
        <w:t xml:space="preserve">Kriteriji za </w:t>
      </w:r>
      <w:r w:rsidR="001E4D64" w:rsidRPr="00E663F4">
        <w:rPr>
          <w:rFonts w:ascii="Times New Roman" w:hAnsi="Times New Roman"/>
          <w:b/>
          <w:sz w:val="24"/>
          <w:szCs w:val="24"/>
          <w:lang w:val="es-ES"/>
        </w:rPr>
        <w:t>terapiju su:</w:t>
      </w:r>
    </w:p>
    <w:p w:rsidR="001E4D64" w:rsidRPr="00E663F4" w:rsidRDefault="001E4D64" w:rsidP="001E4D64">
      <w:pPr>
        <w:numPr>
          <w:ilvl w:val="0"/>
          <w:numId w:val="9"/>
        </w:numPr>
        <w:suppressAutoHyphens/>
        <w:spacing w:line="360" w:lineRule="auto"/>
        <w:jc w:val="both"/>
        <w:rPr>
          <w:rFonts w:ascii="Times New Roman" w:hAnsi="Times New Roman"/>
          <w:sz w:val="24"/>
          <w:szCs w:val="24"/>
          <w:lang w:val="es-ES"/>
        </w:rPr>
      </w:pPr>
      <w:r w:rsidRPr="00E663F4">
        <w:rPr>
          <w:rFonts w:ascii="Times New Roman" w:hAnsi="Times New Roman"/>
          <w:sz w:val="24"/>
          <w:szCs w:val="24"/>
          <w:lang w:val="es-ES"/>
        </w:rPr>
        <w:t>stalno prisutna i detaljno dokumentirana rodna disforija;</w:t>
      </w:r>
    </w:p>
    <w:p w:rsidR="001E4D64" w:rsidRPr="00E663F4" w:rsidRDefault="001E4D64" w:rsidP="001E4D64">
      <w:pPr>
        <w:numPr>
          <w:ilvl w:val="0"/>
          <w:numId w:val="9"/>
        </w:numPr>
        <w:suppressAutoHyphens/>
        <w:spacing w:line="360" w:lineRule="auto"/>
        <w:jc w:val="both"/>
        <w:rPr>
          <w:rFonts w:ascii="Times New Roman" w:hAnsi="Times New Roman"/>
          <w:sz w:val="24"/>
          <w:szCs w:val="24"/>
          <w:lang w:val="es-ES"/>
        </w:rPr>
      </w:pPr>
      <w:r w:rsidRPr="00E663F4">
        <w:rPr>
          <w:rFonts w:ascii="Times New Roman" w:hAnsi="Times New Roman"/>
          <w:sz w:val="24"/>
          <w:szCs w:val="24"/>
          <w:lang w:val="es-ES"/>
        </w:rPr>
        <w:t>sposobnost donošenja potpuno informirane odluke i pružanja informiranoga pristanka na tretman;</w:t>
      </w:r>
    </w:p>
    <w:p w:rsidR="001E4D64" w:rsidRPr="00E663F4" w:rsidRDefault="001E4D64" w:rsidP="001E4D64">
      <w:pPr>
        <w:numPr>
          <w:ilvl w:val="0"/>
          <w:numId w:val="9"/>
        </w:numPr>
        <w:suppressAutoHyphens/>
        <w:spacing w:line="360" w:lineRule="auto"/>
        <w:jc w:val="both"/>
        <w:rPr>
          <w:rFonts w:ascii="Times New Roman" w:hAnsi="Times New Roman"/>
          <w:sz w:val="24"/>
          <w:szCs w:val="24"/>
          <w:lang w:val="es-ES"/>
        </w:rPr>
      </w:pPr>
      <w:r w:rsidRPr="00E663F4">
        <w:rPr>
          <w:rFonts w:ascii="Times New Roman" w:hAnsi="Times New Roman"/>
          <w:sz w:val="24"/>
          <w:szCs w:val="24"/>
          <w:lang w:val="es-ES"/>
        </w:rPr>
        <w:t>ako su prisutne druge medicinske tegobe ili smetnje psihičkog zdravlja, potrebno ih je držati pod adekvatnom kontrolom, uz uvažavanje apsolutnih i relativnih medicinskih kontraindikacija za primjenu svakog pojedinog lijeka</w:t>
      </w:r>
    </w:p>
    <w:p w:rsidR="003E126E" w:rsidRPr="00E663F4" w:rsidRDefault="003E126E" w:rsidP="001E4D64">
      <w:pPr>
        <w:numPr>
          <w:ilvl w:val="0"/>
          <w:numId w:val="9"/>
        </w:numPr>
        <w:suppressAutoHyphens/>
        <w:spacing w:line="360" w:lineRule="auto"/>
        <w:jc w:val="both"/>
        <w:rPr>
          <w:rFonts w:ascii="Times New Roman" w:hAnsi="Times New Roman"/>
          <w:sz w:val="24"/>
          <w:szCs w:val="24"/>
          <w:lang w:val="es-ES"/>
        </w:rPr>
      </w:pPr>
      <w:r w:rsidRPr="00E663F4">
        <w:rPr>
          <w:rFonts w:ascii="Times New Roman" w:hAnsi="Times New Roman"/>
          <w:sz w:val="24"/>
          <w:szCs w:val="24"/>
          <w:lang w:val="es-ES"/>
        </w:rPr>
        <w:t xml:space="preserve">Osoba treba biti informirana i dati pristanak na liječenje. Primjer teksta informiranog pristanka se nalazi u Prilogu 1. </w:t>
      </w:r>
    </w:p>
    <w:p w:rsidR="001E4D64" w:rsidRPr="00E663F4" w:rsidRDefault="001E4D64" w:rsidP="00E663F4">
      <w:pPr>
        <w:spacing w:line="360" w:lineRule="auto"/>
        <w:jc w:val="both"/>
        <w:rPr>
          <w:rFonts w:ascii="Times New Roman" w:hAnsi="Times New Roman"/>
          <w:sz w:val="24"/>
          <w:szCs w:val="24"/>
          <w:lang w:val="es-ES"/>
        </w:rPr>
      </w:pPr>
      <w:r w:rsidRPr="00E663F4">
        <w:rPr>
          <w:rFonts w:ascii="Times New Roman" w:hAnsi="Times New Roman"/>
          <w:sz w:val="24"/>
          <w:szCs w:val="24"/>
          <w:lang w:val="es-ES"/>
        </w:rPr>
        <w:lastRenderedPageBreak/>
        <w:t>Neetično je odbiti pristup hormonskoj terapiji ili osobu smatrati neprikladnom za hormonsku terapiju samo zato što je ona seropozitivna na HIV ili hepatitis B ili C.</w:t>
      </w:r>
    </w:p>
    <w:p w:rsidR="001E4D64" w:rsidRPr="00E663F4" w:rsidRDefault="001E4D64" w:rsidP="00E663F4">
      <w:pPr>
        <w:spacing w:line="360" w:lineRule="auto"/>
        <w:jc w:val="both"/>
        <w:rPr>
          <w:rFonts w:ascii="Times New Roman" w:hAnsi="Times New Roman"/>
          <w:sz w:val="24"/>
          <w:szCs w:val="24"/>
          <w:lang w:val="es-ES"/>
        </w:rPr>
      </w:pPr>
      <w:r w:rsidRPr="00E663F4">
        <w:rPr>
          <w:rFonts w:ascii="Times New Roman" w:hAnsi="Times New Roman"/>
          <w:sz w:val="24"/>
          <w:szCs w:val="24"/>
          <w:lang w:val="es-ES"/>
        </w:rPr>
        <w:t>U rijetkim slučajevima hormonska terapija može biti kontraindicirana zbog ozbiljnih indivi</w:t>
      </w:r>
      <w:r w:rsidR="000A0DEC" w:rsidRPr="00E663F4">
        <w:rPr>
          <w:rFonts w:ascii="Times New Roman" w:hAnsi="Times New Roman"/>
          <w:sz w:val="24"/>
          <w:szCs w:val="24"/>
          <w:lang w:val="es-ES"/>
        </w:rPr>
        <w:t>dualnih zdravstvenih poteškoća.</w:t>
      </w:r>
    </w:p>
    <w:p w:rsidR="000A0DEC" w:rsidRPr="00E663F4" w:rsidRDefault="000A0DEC" w:rsidP="000A0DEC">
      <w:pPr>
        <w:pStyle w:val="Naslov3"/>
        <w:rPr>
          <w:rFonts w:ascii="Times New Roman" w:hAnsi="Times New Roman"/>
          <w:sz w:val="24"/>
          <w:szCs w:val="24"/>
          <w:lang w:val="es-ES"/>
        </w:rPr>
      </w:pPr>
      <w:bookmarkStart w:id="41" w:name="_Toc431396775"/>
      <w:bookmarkStart w:id="42" w:name="_Toc431396898"/>
      <w:r w:rsidRPr="00E663F4">
        <w:rPr>
          <w:rFonts w:ascii="Times New Roman" w:hAnsi="Times New Roman"/>
          <w:sz w:val="24"/>
          <w:szCs w:val="24"/>
          <w:lang w:val="es-ES"/>
        </w:rPr>
        <w:t>Tjelesni učinci terapije</w:t>
      </w:r>
      <w:bookmarkEnd w:id="41"/>
      <w:bookmarkEnd w:id="42"/>
      <w:r w:rsidR="0098062A" w:rsidRPr="00E663F4">
        <w:rPr>
          <w:rFonts w:ascii="Times New Roman" w:hAnsi="Times New Roman"/>
          <w:sz w:val="24"/>
          <w:szCs w:val="24"/>
          <w:lang w:val="es-ES"/>
        </w:rPr>
        <w:t xml:space="preserve"> s hormonskim</w:t>
      </w:r>
      <w:r w:rsidR="006F458A" w:rsidRPr="00E663F4">
        <w:rPr>
          <w:rFonts w:ascii="Times New Roman" w:hAnsi="Times New Roman"/>
          <w:sz w:val="24"/>
          <w:szCs w:val="24"/>
          <w:lang w:val="es-ES"/>
        </w:rPr>
        <w:t xml:space="preserve"> učincima</w:t>
      </w:r>
    </w:p>
    <w:p w:rsidR="000A0DEC" w:rsidRPr="00E663F4" w:rsidRDefault="000A0DEC" w:rsidP="000A0DEC">
      <w:pPr>
        <w:spacing w:line="360" w:lineRule="auto"/>
        <w:ind w:firstLine="360"/>
        <w:jc w:val="both"/>
        <w:rPr>
          <w:rFonts w:ascii="Times New Roman" w:hAnsi="Times New Roman"/>
          <w:sz w:val="24"/>
          <w:szCs w:val="24"/>
          <w:lang w:val="es-ES"/>
        </w:rPr>
      </w:pPr>
      <w:r w:rsidRPr="00E663F4">
        <w:rPr>
          <w:rFonts w:ascii="Times New Roman" w:hAnsi="Times New Roman"/>
          <w:sz w:val="24"/>
          <w:szCs w:val="24"/>
          <w:lang w:val="es-ES"/>
        </w:rPr>
        <w:t>Feminizirajuća/maskulinizirajuća hormonska terapija izazvat će tjelesne prilagodbe koje više odgovaraju pacijentovom/ičinom rodnome identitetu.</w:t>
      </w:r>
    </w:p>
    <w:p w:rsidR="000A0DEC" w:rsidRPr="00E663F4" w:rsidRDefault="000A0DEC" w:rsidP="000A0DEC">
      <w:pPr>
        <w:numPr>
          <w:ilvl w:val="0"/>
          <w:numId w:val="10"/>
        </w:numPr>
        <w:suppressAutoHyphens/>
        <w:spacing w:line="360" w:lineRule="auto"/>
        <w:jc w:val="both"/>
        <w:rPr>
          <w:rFonts w:ascii="Times New Roman" w:hAnsi="Times New Roman"/>
          <w:sz w:val="24"/>
          <w:szCs w:val="24"/>
          <w:lang w:val="es-ES"/>
        </w:rPr>
      </w:pPr>
      <w:r w:rsidRPr="00E663F4">
        <w:rPr>
          <w:rFonts w:ascii="Times New Roman" w:hAnsi="Times New Roman"/>
          <w:sz w:val="24"/>
          <w:szCs w:val="24"/>
          <w:lang w:val="es-ES"/>
        </w:rPr>
        <w:t>Kod transmuškaraca očekivane tjelesne prilagodbe su: produbljenje glasa, povećanje klitorisa (varira), povećanje facijalne i tjelesne dlakavosti, prestanak menstruacije, atrofija tkiva dojki te smanjenje postotka masnoga tkiva u odnosu na mišićnu masu.</w:t>
      </w:r>
    </w:p>
    <w:p w:rsidR="000A0DEC" w:rsidRPr="00E663F4" w:rsidRDefault="000A0DEC" w:rsidP="000A0DEC">
      <w:pPr>
        <w:numPr>
          <w:ilvl w:val="0"/>
          <w:numId w:val="10"/>
        </w:numPr>
        <w:suppressAutoHyphens/>
        <w:spacing w:line="360" w:lineRule="auto"/>
        <w:jc w:val="both"/>
        <w:rPr>
          <w:rFonts w:ascii="Times New Roman" w:hAnsi="Times New Roman"/>
          <w:sz w:val="24"/>
          <w:szCs w:val="24"/>
          <w:lang w:val="es-ES"/>
        </w:rPr>
      </w:pPr>
      <w:r w:rsidRPr="00E663F4">
        <w:rPr>
          <w:rFonts w:ascii="Times New Roman" w:hAnsi="Times New Roman"/>
          <w:sz w:val="24"/>
          <w:szCs w:val="24"/>
          <w:lang w:val="es-ES"/>
        </w:rPr>
        <w:t>Kod transžena očekivane tjelesne prilagodbe su: rast dojki (varira), slabljenje erektilne funkcije, smanjenje testisa te rast postotka masnoga tkiva u odnosu na mišićnu masu.</w:t>
      </w:r>
    </w:p>
    <w:p w:rsidR="000A0DEC" w:rsidRPr="00E663F4" w:rsidRDefault="000A0DEC" w:rsidP="000A0DEC">
      <w:pPr>
        <w:spacing w:line="360" w:lineRule="auto"/>
        <w:ind w:firstLine="360"/>
        <w:jc w:val="both"/>
        <w:rPr>
          <w:rFonts w:ascii="Times New Roman" w:hAnsi="Times New Roman"/>
          <w:sz w:val="24"/>
          <w:szCs w:val="24"/>
          <w:lang w:val="es-ES"/>
        </w:rPr>
      </w:pPr>
      <w:r w:rsidRPr="00E663F4">
        <w:rPr>
          <w:rFonts w:ascii="Times New Roman" w:hAnsi="Times New Roman"/>
          <w:sz w:val="24"/>
          <w:szCs w:val="24"/>
          <w:lang w:val="es-ES"/>
        </w:rPr>
        <w:t>Do većine tjelesnih prilagodbi, kako u pravcu feminizacije tako i u pravcu maskulinizacije, doći će u razdoblju od dvije godine. Broj fizičkih prilagodbi i vremenski tijek učinaka može izrazito varirati. Tablice 2 i 3 prikazuju aproksimativni vremenski slijed tih fizičkih prilagodbi.</w:t>
      </w:r>
    </w:p>
    <w:p w:rsidR="000A0DEC" w:rsidRPr="00E663F4" w:rsidRDefault="000A0DEC" w:rsidP="000A0DEC">
      <w:pPr>
        <w:spacing w:line="360" w:lineRule="auto"/>
        <w:jc w:val="both"/>
        <w:rPr>
          <w:rFonts w:ascii="Times New Roman" w:hAnsi="Times New Roman"/>
          <w:b/>
          <w:sz w:val="24"/>
          <w:szCs w:val="24"/>
          <w:lang w:val="es-ES"/>
        </w:rPr>
      </w:pPr>
      <w:r w:rsidRPr="00E663F4">
        <w:rPr>
          <w:rFonts w:ascii="Times New Roman" w:hAnsi="Times New Roman"/>
          <w:b/>
          <w:sz w:val="24"/>
          <w:szCs w:val="24"/>
          <w:lang w:val="es-ES"/>
        </w:rPr>
        <w:t>TABLICA 2: UČINCI I OČEKIVANI VREMENSKI TIJEK MASKULINIZIRAJUĆIH LIJEKOVA</w:t>
      </w:r>
      <w:r w:rsidRPr="00E663F4">
        <w:rPr>
          <w:rStyle w:val="Referencafusnote"/>
          <w:rFonts w:ascii="Times New Roman" w:hAnsi="Times New Roman"/>
          <w:sz w:val="24"/>
          <w:szCs w:val="24"/>
        </w:rPr>
        <w:footnoteReference w:id="2"/>
      </w:r>
    </w:p>
    <w:tbl>
      <w:tblPr>
        <w:tblW w:w="0" w:type="auto"/>
        <w:tblLayout w:type="fixed"/>
        <w:tblLook w:val="0000" w:firstRow="0" w:lastRow="0" w:firstColumn="0" w:lastColumn="0" w:noHBand="0" w:noVBand="0"/>
      </w:tblPr>
      <w:tblGrid>
        <w:gridCol w:w="3094"/>
        <w:gridCol w:w="3094"/>
        <w:gridCol w:w="3095"/>
      </w:tblGrid>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b/>
                <w:sz w:val="24"/>
                <w:szCs w:val="24"/>
              </w:rPr>
            </w:pPr>
            <w:r w:rsidRPr="00E663F4">
              <w:rPr>
                <w:rFonts w:ascii="Times New Roman" w:hAnsi="Times New Roman"/>
                <w:b/>
                <w:sz w:val="24"/>
                <w:szCs w:val="24"/>
              </w:rPr>
              <w:t>učinak</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b/>
                <w:sz w:val="24"/>
                <w:szCs w:val="24"/>
              </w:rPr>
            </w:pPr>
            <w:r w:rsidRPr="00E663F4">
              <w:rPr>
                <w:rFonts w:ascii="Times New Roman" w:hAnsi="Times New Roman"/>
                <w:b/>
                <w:sz w:val="24"/>
                <w:szCs w:val="24"/>
              </w:rPr>
              <w:t>očekivani početak</w:t>
            </w:r>
            <w:r w:rsidRPr="00E663F4">
              <w:rPr>
                <w:rStyle w:val="Referencafusnote"/>
                <w:rFonts w:ascii="Times New Roman" w:hAnsi="Times New Roman"/>
                <w:sz w:val="24"/>
                <w:szCs w:val="24"/>
              </w:rPr>
              <w:footnoteReference w:id="3"/>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b/>
                <w:sz w:val="24"/>
                <w:szCs w:val="24"/>
              </w:rPr>
            </w:pPr>
            <w:r w:rsidRPr="00E663F4">
              <w:rPr>
                <w:rFonts w:ascii="Times New Roman" w:hAnsi="Times New Roman"/>
                <w:b/>
                <w:sz w:val="24"/>
                <w:szCs w:val="24"/>
              </w:rPr>
              <w:t>očekivani maksimalni učinak</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masna koža/akne</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1-6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1-2 godine</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rast facijalne/tjelesne dlake</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3-6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3-5 godina</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gubitak kose</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&gt;12 mjeseci</w:t>
            </w:r>
            <w:r w:rsidRPr="00E663F4">
              <w:rPr>
                <w:rStyle w:val="Referencafusnote"/>
                <w:rFonts w:ascii="Times New Roman" w:hAnsi="Times New Roman"/>
                <w:sz w:val="24"/>
                <w:szCs w:val="24"/>
              </w:rPr>
              <w:footnoteReference w:id="4"/>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varira</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lastRenderedPageBreak/>
              <w:t>povećana mišićna masa/snaga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6-12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2-5 godina</w:t>
            </w:r>
            <w:r w:rsidRPr="00E663F4">
              <w:rPr>
                <w:rStyle w:val="Referencafusnote"/>
                <w:rFonts w:ascii="Times New Roman" w:hAnsi="Times New Roman"/>
                <w:sz w:val="24"/>
                <w:szCs w:val="24"/>
              </w:rPr>
              <w:footnoteReference w:id="5"/>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preraspodjela masnoga tkiva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3-6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2-5 godina</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prestanak menstruacije</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2-6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Ø</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povećanje klitorisa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3-6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1-2 godine</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urogenitalna atrofija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3-6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1-2 godine</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produbljenje glasa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3-12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1-2 godine</w:t>
            </w:r>
          </w:p>
        </w:tc>
      </w:tr>
    </w:tbl>
    <w:p w:rsidR="000A0DEC" w:rsidRPr="00E663F4" w:rsidRDefault="000A0DEC" w:rsidP="000A0DEC">
      <w:pPr>
        <w:spacing w:line="360" w:lineRule="auto"/>
        <w:jc w:val="both"/>
        <w:rPr>
          <w:rFonts w:ascii="Times New Roman" w:hAnsi="Times New Roman"/>
          <w:sz w:val="24"/>
          <w:szCs w:val="24"/>
        </w:rPr>
      </w:pPr>
    </w:p>
    <w:p w:rsidR="000A0DEC" w:rsidRPr="00E663F4" w:rsidRDefault="000A0DEC" w:rsidP="000A0DEC">
      <w:pPr>
        <w:spacing w:line="360" w:lineRule="auto"/>
        <w:jc w:val="both"/>
        <w:rPr>
          <w:rFonts w:ascii="Times New Roman" w:hAnsi="Times New Roman"/>
          <w:b/>
          <w:sz w:val="24"/>
          <w:szCs w:val="24"/>
        </w:rPr>
      </w:pPr>
      <w:r w:rsidRPr="00E663F4">
        <w:rPr>
          <w:rFonts w:ascii="Times New Roman" w:hAnsi="Times New Roman"/>
          <w:b/>
          <w:sz w:val="24"/>
          <w:szCs w:val="24"/>
        </w:rPr>
        <w:t>TABLICA 3: UČINCI I OČEKIVANI VREMENSKI TIJEK FEMINIZIRAJUĆIH LIJEKOVA</w:t>
      </w:r>
      <w:r w:rsidRPr="00E663F4">
        <w:rPr>
          <w:rStyle w:val="Referencafusnote"/>
          <w:rFonts w:ascii="Times New Roman" w:hAnsi="Times New Roman"/>
          <w:sz w:val="24"/>
          <w:szCs w:val="24"/>
        </w:rPr>
        <w:footnoteReference w:id="6"/>
      </w:r>
    </w:p>
    <w:tbl>
      <w:tblPr>
        <w:tblW w:w="0" w:type="auto"/>
        <w:tblLayout w:type="fixed"/>
        <w:tblLook w:val="0000" w:firstRow="0" w:lastRow="0" w:firstColumn="0" w:lastColumn="0" w:noHBand="0" w:noVBand="0"/>
      </w:tblPr>
      <w:tblGrid>
        <w:gridCol w:w="3094"/>
        <w:gridCol w:w="3094"/>
        <w:gridCol w:w="3095"/>
      </w:tblGrid>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b/>
                <w:sz w:val="24"/>
                <w:szCs w:val="24"/>
              </w:rPr>
            </w:pPr>
            <w:r w:rsidRPr="00E663F4">
              <w:rPr>
                <w:rFonts w:ascii="Times New Roman" w:hAnsi="Times New Roman"/>
                <w:b/>
                <w:sz w:val="24"/>
                <w:szCs w:val="24"/>
              </w:rPr>
              <w:t>učinak</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b/>
                <w:sz w:val="24"/>
                <w:szCs w:val="24"/>
              </w:rPr>
            </w:pPr>
            <w:r w:rsidRPr="00E663F4">
              <w:rPr>
                <w:rFonts w:ascii="Times New Roman" w:hAnsi="Times New Roman"/>
                <w:b/>
                <w:sz w:val="24"/>
                <w:szCs w:val="24"/>
              </w:rPr>
              <w:t>očekivani početak</w:t>
            </w:r>
            <w:r w:rsidRPr="00E663F4">
              <w:rPr>
                <w:rStyle w:val="Referencafusnote"/>
                <w:rFonts w:ascii="Times New Roman" w:hAnsi="Times New Roman"/>
                <w:sz w:val="24"/>
                <w:szCs w:val="24"/>
              </w:rPr>
              <w:footnoteReference w:id="7"/>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b/>
                <w:sz w:val="24"/>
                <w:szCs w:val="24"/>
              </w:rPr>
            </w:pPr>
            <w:r w:rsidRPr="00E663F4">
              <w:rPr>
                <w:rFonts w:ascii="Times New Roman" w:hAnsi="Times New Roman"/>
                <w:b/>
                <w:sz w:val="24"/>
                <w:szCs w:val="24"/>
              </w:rPr>
              <w:t>očekivani maksimalni učinak</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preraspodjela masnoga tkiva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3-6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2-5 godina</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smanjenje mišićne mase/snage</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3-6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1-2 godine</w:t>
            </w:r>
            <w:r w:rsidRPr="00E663F4">
              <w:rPr>
                <w:rStyle w:val="Referencafusnote"/>
                <w:rFonts w:ascii="Times New Roman" w:hAnsi="Times New Roman"/>
                <w:sz w:val="24"/>
                <w:szCs w:val="24"/>
              </w:rPr>
              <w:footnoteReference w:id="8"/>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rPr>
                <w:rFonts w:ascii="Times New Roman" w:hAnsi="Times New Roman"/>
                <w:sz w:val="24"/>
                <w:szCs w:val="24"/>
                <w:lang w:val="nb-NO"/>
              </w:rPr>
            </w:pPr>
            <w:r w:rsidRPr="00E663F4">
              <w:rPr>
                <w:rFonts w:ascii="Times New Roman" w:hAnsi="Times New Roman"/>
                <w:sz w:val="24"/>
                <w:szCs w:val="24"/>
                <w:lang w:val="nb-NO"/>
              </w:rPr>
              <w:t>omekšavanje kože/smanjenje masnoće kože</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3-6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nepoznato</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smanjenje libida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1-3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1-2 godine</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lastRenderedPageBreak/>
              <w:t>smanjenje učestalosti spontanih erekcija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1-3 mjeseca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3-6 mjeseci</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muška spolna disfunkcija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varira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varira</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rast grudi</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3-6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2-3 godine</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smanjenje veličine testisa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3-6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2-3 godine</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smanjenje proizvodnje sperme</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varira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varira</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rPr>
                <w:rFonts w:ascii="Times New Roman" w:hAnsi="Times New Roman"/>
                <w:sz w:val="24"/>
                <w:szCs w:val="24"/>
                <w:lang w:val="nb-NO"/>
              </w:rPr>
            </w:pPr>
            <w:r w:rsidRPr="00E663F4">
              <w:rPr>
                <w:rFonts w:ascii="Times New Roman" w:hAnsi="Times New Roman"/>
                <w:sz w:val="24"/>
                <w:szCs w:val="24"/>
                <w:lang w:val="nb-NO"/>
              </w:rPr>
              <w:t>stanjivanje i usporeni rast tjelesnih i facijalnih dlaka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6-12 mjeseci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&gt;3 godine</w:t>
            </w:r>
            <w:r w:rsidRPr="00E663F4">
              <w:rPr>
                <w:rStyle w:val="Referencafusnote"/>
                <w:rFonts w:ascii="Times New Roman" w:hAnsi="Times New Roman"/>
                <w:sz w:val="24"/>
                <w:szCs w:val="24"/>
              </w:rPr>
              <w:footnoteReference w:id="9"/>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muški obrazac ćelavosti</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rPr>
                <w:rFonts w:ascii="Times New Roman" w:hAnsi="Times New Roman"/>
                <w:sz w:val="24"/>
                <w:szCs w:val="24"/>
                <w:lang w:val="es-ES"/>
              </w:rPr>
            </w:pPr>
            <w:r w:rsidRPr="00E663F4">
              <w:rPr>
                <w:rFonts w:ascii="Times New Roman" w:hAnsi="Times New Roman"/>
                <w:sz w:val="24"/>
                <w:szCs w:val="24"/>
                <w:lang w:val="es-ES"/>
              </w:rPr>
              <w:t>bez ponovnoga rasta izgubljene kose, opadanje prestaje nakon 1-3 mjeseca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1-2 godine</w:t>
            </w:r>
          </w:p>
        </w:tc>
      </w:tr>
    </w:tbl>
    <w:p w:rsidR="000A0DEC" w:rsidRPr="00E663F4" w:rsidRDefault="000A0DEC" w:rsidP="000A0DEC">
      <w:pPr>
        <w:spacing w:line="360" w:lineRule="auto"/>
        <w:jc w:val="both"/>
        <w:rPr>
          <w:rFonts w:ascii="Times New Roman" w:hAnsi="Times New Roman"/>
          <w:sz w:val="24"/>
          <w:szCs w:val="24"/>
          <w:highlight w:val="yellow"/>
        </w:rPr>
      </w:pP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Stupanj i stopa tjelesnih učinaka ovise jednim dijelom o doziranju, načinu uzimanja i primijenjenim lijekovima koji se biraju u skladu sa specifičnim medicinskim ciljevima svakoga/e pacijenta/ice (npr. prilagodbama u rodnom izražavanju, planovima za prilagodbu spola) i zdravstvenim rizičnim profilom. Zasada nema dokaza koji bi išli u prilog tomu da je reakciju na hormonsku terapiju moguće pouzdano predvidjeti temeljem dobi, tjelesne težine, etničke pripadnosti ili obiteljske anamneze. Budući da su svi ostali učinci jednaki, nema dokaza koji bi upućivali da je neka medicinski odobrena vrsta ili metoda primjene ovih lijekova učinkovitija od bilo koje druge u izazivanju željenih fizičkih prilagodbi.</w:t>
      </w:r>
    </w:p>
    <w:p w:rsidR="000A0DEC" w:rsidRPr="00E663F4" w:rsidRDefault="000A0DEC" w:rsidP="000A0DEC">
      <w:pPr>
        <w:pStyle w:val="Naslov3"/>
        <w:rPr>
          <w:rFonts w:ascii="Times New Roman" w:hAnsi="Times New Roman"/>
          <w:sz w:val="24"/>
          <w:szCs w:val="24"/>
        </w:rPr>
      </w:pPr>
      <w:bookmarkStart w:id="43" w:name="_Toc431396776"/>
      <w:bookmarkStart w:id="44" w:name="_Toc431396899"/>
      <w:r w:rsidRPr="00E663F4">
        <w:rPr>
          <w:rFonts w:ascii="Times New Roman" w:hAnsi="Times New Roman"/>
          <w:sz w:val="24"/>
          <w:szCs w:val="24"/>
        </w:rPr>
        <w:t>Rizici terapije</w:t>
      </w:r>
      <w:bookmarkEnd w:id="43"/>
      <w:bookmarkEnd w:id="44"/>
      <w:r w:rsidR="0098062A" w:rsidRPr="00E663F4">
        <w:rPr>
          <w:rFonts w:ascii="Times New Roman" w:hAnsi="Times New Roman"/>
          <w:sz w:val="24"/>
          <w:szCs w:val="24"/>
        </w:rPr>
        <w:t xml:space="preserve"> s hormonskim učincima</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Sve su medicinske intervencije rizične. Vjerojatnost da će doći do neke ozbiljne negativne nuspojave ovisi o brojnim faktorima: o samome lijeku, o dozi, načinu primjene i kliničkoj slici (dob, komorbiditeti, obiteljska anamneza, zdravstvene navike). </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Rizici povezani s feminizirajućom/maskulinizirajućom terapijom kod transpolne, transrodne i rodno nenormativne populacije u cjelini jezgrovito su izneseni u Tablici 4. S obzirom na količinu podataka, rizici su kategorizirani na sljedeći način: (i) vjerojatno povećani rizik </w:t>
      </w:r>
      <w:r w:rsidRPr="00E663F4">
        <w:rPr>
          <w:rFonts w:ascii="Times New Roman" w:hAnsi="Times New Roman"/>
          <w:sz w:val="24"/>
          <w:szCs w:val="24"/>
        </w:rPr>
        <w:lastRenderedPageBreak/>
        <w:t>povezan s terapijom, (ii) moguće povećani rizik povezan s terapijom, ili (iii) nema povećanoga rizika ili bez jasnih rezultata. Stavke u posljednjoj kategoriji su one koje mogu predstavljati rizik, ali za koje su dokazi toliko minimalni da se nikakav jasan zaključak ne može donijeti.</w:t>
      </w:r>
    </w:p>
    <w:p w:rsidR="000A0DEC" w:rsidRPr="00E663F4" w:rsidRDefault="000A0DEC" w:rsidP="000A0DEC">
      <w:pPr>
        <w:spacing w:line="360" w:lineRule="auto"/>
        <w:jc w:val="both"/>
        <w:rPr>
          <w:rFonts w:ascii="Times New Roman" w:hAnsi="Times New Roman"/>
          <w:b/>
          <w:sz w:val="24"/>
          <w:szCs w:val="24"/>
        </w:rPr>
      </w:pPr>
      <w:r w:rsidRPr="00E663F4">
        <w:rPr>
          <w:rFonts w:ascii="Times New Roman" w:hAnsi="Times New Roman"/>
          <w:b/>
          <w:sz w:val="24"/>
          <w:szCs w:val="24"/>
        </w:rPr>
        <w:t>TABLICA 4: RIZICI POVEZANI S HORMONSKOM TERAPIJOM, ISTAKNUTE STAVKE SU KLINIČKI ZNAČAJNE</w:t>
      </w:r>
    </w:p>
    <w:tbl>
      <w:tblPr>
        <w:tblW w:w="0" w:type="auto"/>
        <w:tblLayout w:type="fixed"/>
        <w:tblLook w:val="0000" w:firstRow="0" w:lastRow="0" w:firstColumn="0" w:lastColumn="0" w:noHBand="0" w:noVBand="0"/>
      </w:tblPr>
      <w:tblGrid>
        <w:gridCol w:w="3094"/>
        <w:gridCol w:w="3094"/>
        <w:gridCol w:w="3095"/>
      </w:tblGrid>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razina rizika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feminizirajući lijekovi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maskulinizirajući lijekovi</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vjerojatno povećani rizik</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b/>
                <w:sz w:val="24"/>
                <w:szCs w:val="24"/>
              </w:rPr>
              <w:t>venska tromboembolija</w:t>
            </w:r>
            <w:r w:rsidRPr="00E663F4">
              <w:rPr>
                <w:rStyle w:val="Referencafusnote"/>
                <w:rFonts w:ascii="Times New Roman" w:hAnsi="Times New Roman"/>
                <w:sz w:val="24"/>
                <w:szCs w:val="24"/>
              </w:rPr>
              <w:footnoteReference w:id="10"/>
            </w:r>
          </w:p>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žučni kamenci</w:t>
            </w:r>
          </w:p>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povišeni jetreni enzimi</w:t>
            </w:r>
          </w:p>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porast tjelesne težine</w:t>
            </w:r>
          </w:p>
          <w:p w:rsidR="000A0DEC" w:rsidRPr="00E663F4" w:rsidRDefault="000A0DEC" w:rsidP="00CB2955">
            <w:pPr>
              <w:spacing w:after="0" w:line="360" w:lineRule="auto"/>
              <w:jc w:val="both"/>
              <w:rPr>
                <w:rFonts w:ascii="Times New Roman" w:hAnsi="Times New Roman"/>
                <w:bCs/>
                <w:sz w:val="24"/>
                <w:szCs w:val="24"/>
              </w:rPr>
            </w:pPr>
            <w:r w:rsidRPr="00E663F4">
              <w:rPr>
                <w:rFonts w:ascii="Times New Roman" w:hAnsi="Times New Roman"/>
                <w:bCs/>
                <w:sz w:val="24"/>
                <w:szCs w:val="24"/>
              </w:rPr>
              <w:t>hipertrigliceridemija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policitemija</w:t>
            </w:r>
          </w:p>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porast tjelesne težine</w:t>
            </w:r>
          </w:p>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akne</w:t>
            </w:r>
          </w:p>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androgena alopecija (ćelavljenje)</w:t>
            </w:r>
          </w:p>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apneja tijekom spavanja</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vjerojatno povećani rizik ako su prisutni dodatni rizični faktori</w:t>
            </w:r>
            <w:r w:rsidRPr="00E663F4">
              <w:rPr>
                <w:rStyle w:val="Referencafusnote"/>
                <w:rFonts w:ascii="Times New Roman" w:hAnsi="Times New Roman"/>
                <w:sz w:val="24"/>
                <w:szCs w:val="24"/>
              </w:rPr>
              <w:footnoteReference w:id="11"/>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kardiovaskularne bolesti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moguće povećani rizik</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lang w:val="es-ES"/>
              </w:rPr>
            </w:pPr>
            <w:r w:rsidRPr="00E663F4">
              <w:rPr>
                <w:rFonts w:ascii="Times New Roman" w:hAnsi="Times New Roman"/>
                <w:sz w:val="24"/>
                <w:szCs w:val="24"/>
                <w:lang w:val="es-ES"/>
              </w:rPr>
              <w:t>hipertenzija</w:t>
            </w:r>
          </w:p>
          <w:p w:rsidR="000A0DEC" w:rsidRPr="00E663F4" w:rsidRDefault="000A0DEC" w:rsidP="00CB2955">
            <w:pPr>
              <w:spacing w:after="0" w:line="360" w:lineRule="auto"/>
              <w:jc w:val="both"/>
              <w:rPr>
                <w:rFonts w:ascii="Times New Roman" w:hAnsi="Times New Roman"/>
                <w:sz w:val="24"/>
                <w:szCs w:val="24"/>
                <w:lang w:val="es-ES"/>
              </w:rPr>
            </w:pPr>
            <w:r w:rsidRPr="00E663F4">
              <w:rPr>
                <w:rFonts w:ascii="Times New Roman" w:hAnsi="Times New Roman"/>
                <w:sz w:val="24"/>
                <w:szCs w:val="24"/>
                <w:lang w:val="es-ES"/>
              </w:rPr>
              <w:t>hiperprolaktinemija ili prolaktinski tumor</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povišeni jetreni enzimi</w:t>
            </w:r>
          </w:p>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hiperlipidemija</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moguće povećani rizik ako su prisutni dodatni rizični faktori</w:t>
            </w:r>
            <w:r w:rsidRPr="00E663F4">
              <w:rPr>
                <w:rStyle w:val="Referencafusnote"/>
                <w:rFonts w:ascii="Times New Roman" w:hAnsi="Times New Roman"/>
                <w:sz w:val="24"/>
                <w:szCs w:val="24"/>
              </w:rPr>
              <w:footnoteReference w:id="12"/>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dijabetes tipa 2</w:t>
            </w:r>
            <w:r w:rsidRPr="00E663F4">
              <w:rPr>
                <w:rStyle w:val="Referencafusnote"/>
                <w:rFonts w:ascii="Times New Roman" w:hAnsi="Times New Roman"/>
                <w:sz w:val="24"/>
                <w:szCs w:val="24"/>
              </w:rPr>
              <w:footnoteReference w:id="13"/>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destabilizacija određenih psihijatrijskih poremećaja</w:t>
            </w:r>
            <w:r w:rsidRPr="00E663F4">
              <w:rPr>
                <w:rStyle w:val="Referencafusnote"/>
                <w:rFonts w:ascii="Times New Roman" w:hAnsi="Times New Roman"/>
                <w:sz w:val="24"/>
                <w:szCs w:val="24"/>
              </w:rPr>
              <w:footnoteReference w:id="14"/>
            </w:r>
          </w:p>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kardiovaskularne bolesti</w:t>
            </w:r>
          </w:p>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lastRenderedPageBreak/>
              <w:t>hipertenzija</w:t>
            </w:r>
          </w:p>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t>dijabetes tipa 2</w:t>
            </w:r>
          </w:p>
        </w:tc>
      </w:tr>
      <w:tr w:rsidR="000A0DEC" w:rsidRPr="00E14F68" w:rsidTr="00CB2955">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rPr>
                <w:rFonts w:ascii="Times New Roman" w:hAnsi="Times New Roman"/>
                <w:sz w:val="24"/>
                <w:szCs w:val="24"/>
              </w:rPr>
            </w:pPr>
            <w:r w:rsidRPr="00E663F4">
              <w:rPr>
                <w:rFonts w:ascii="Times New Roman" w:hAnsi="Times New Roman"/>
                <w:sz w:val="24"/>
                <w:szCs w:val="24"/>
              </w:rPr>
              <w:lastRenderedPageBreak/>
              <w:t>nema povećanoga rizika ili bez jasnih rezultata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rak dojke</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0A0DEC" w:rsidRPr="00E663F4" w:rsidRDefault="000A0DEC" w:rsidP="00CB2955">
            <w:pPr>
              <w:spacing w:after="0" w:line="360" w:lineRule="auto"/>
              <w:jc w:val="both"/>
              <w:rPr>
                <w:rFonts w:ascii="Times New Roman" w:hAnsi="Times New Roman"/>
                <w:sz w:val="24"/>
                <w:szCs w:val="24"/>
                <w:lang w:val="nb-NO"/>
              </w:rPr>
            </w:pPr>
            <w:r w:rsidRPr="00E663F4">
              <w:rPr>
                <w:rFonts w:ascii="Times New Roman" w:hAnsi="Times New Roman"/>
                <w:sz w:val="24"/>
                <w:szCs w:val="24"/>
                <w:lang w:val="nb-NO"/>
              </w:rPr>
              <w:t>gubitak koštane mase</w:t>
            </w:r>
          </w:p>
          <w:p w:rsidR="000A0DEC" w:rsidRPr="00E663F4" w:rsidRDefault="000A0DEC" w:rsidP="00CB2955">
            <w:pPr>
              <w:spacing w:after="0" w:line="360" w:lineRule="auto"/>
              <w:jc w:val="both"/>
              <w:rPr>
                <w:rFonts w:ascii="Times New Roman" w:hAnsi="Times New Roman"/>
                <w:sz w:val="24"/>
                <w:szCs w:val="24"/>
                <w:lang w:val="nb-NO"/>
              </w:rPr>
            </w:pPr>
            <w:r w:rsidRPr="00E663F4">
              <w:rPr>
                <w:rFonts w:ascii="Times New Roman" w:hAnsi="Times New Roman"/>
                <w:sz w:val="24"/>
                <w:szCs w:val="24"/>
                <w:lang w:val="nb-NO"/>
              </w:rPr>
              <w:t>rak dojke</w:t>
            </w:r>
          </w:p>
          <w:p w:rsidR="000A0DEC" w:rsidRPr="00E663F4" w:rsidRDefault="000A0DEC" w:rsidP="00CB2955">
            <w:pPr>
              <w:spacing w:after="0" w:line="360" w:lineRule="auto"/>
              <w:jc w:val="both"/>
              <w:rPr>
                <w:rFonts w:ascii="Times New Roman" w:hAnsi="Times New Roman"/>
                <w:sz w:val="24"/>
                <w:szCs w:val="24"/>
                <w:lang w:val="nb-NO"/>
              </w:rPr>
            </w:pPr>
            <w:r w:rsidRPr="00E663F4">
              <w:rPr>
                <w:rFonts w:ascii="Times New Roman" w:hAnsi="Times New Roman"/>
                <w:sz w:val="24"/>
                <w:szCs w:val="24"/>
                <w:lang w:val="nb-NO"/>
              </w:rPr>
              <w:t>rak vrata maternice</w:t>
            </w:r>
          </w:p>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rak jajnika</w:t>
            </w:r>
          </w:p>
          <w:p w:rsidR="000A0DEC" w:rsidRPr="00E663F4" w:rsidRDefault="000A0DEC" w:rsidP="00CB2955">
            <w:pPr>
              <w:spacing w:after="0" w:line="360" w:lineRule="auto"/>
              <w:jc w:val="both"/>
              <w:rPr>
                <w:rFonts w:ascii="Times New Roman" w:hAnsi="Times New Roman"/>
                <w:sz w:val="24"/>
                <w:szCs w:val="24"/>
              </w:rPr>
            </w:pPr>
            <w:r w:rsidRPr="00E663F4">
              <w:rPr>
                <w:rFonts w:ascii="Times New Roman" w:hAnsi="Times New Roman"/>
                <w:sz w:val="24"/>
                <w:szCs w:val="24"/>
              </w:rPr>
              <w:t>rak maternice</w:t>
            </w:r>
          </w:p>
        </w:tc>
      </w:tr>
    </w:tbl>
    <w:p w:rsidR="000A0DEC" w:rsidRPr="00E663F4" w:rsidRDefault="000A0DEC" w:rsidP="000A0DEC">
      <w:pPr>
        <w:spacing w:line="360" w:lineRule="auto"/>
        <w:jc w:val="both"/>
        <w:rPr>
          <w:rFonts w:ascii="Times New Roman" w:hAnsi="Times New Roman"/>
          <w:sz w:val="24"/>
          <w:szCs w:val="24"/>
        </w:rPr>
      </w:pPr>
    </w:p>
    <w:p w:rsidR="000A0DEC" w:rsidRPr="00E663F4" w:rsidRDefault="0098062A" w:rsidP="00CB2955">
      <w:pPr>
        <w:pStyle w:val="Naslov3"/>
        <w:rPr>
          <w:rFonts w:ascii="Times New Roman" w:hAnsi="Times New Roman"/>
          <w:sz w:val="24"/>
          <w:szCs w:val="24"/>
          <w:lang w:val="es-ES"/>
        </w:rPr>
      </w:pPr>
      <w:bookmarkStart w:id="45" w:name="_Toc431396777"/>
      <w:bookmarkStart w:id="46" w:name="_Toc431396900"/>
      <w:r w:rsidRPr="00E663F4">
        <w:rPr>
          <w:rFonts w:ascii="Times New Roman" w:hAnsi="Times New Roman"/>
          <w:sz w:val="24"/>
          <w:szCs w:val="24"/>
          <w:lang w:val="es-ES"/>
        </w:rPr>
        <w:t>Terapija s hormonskim učincima</w:t>
      </w:r>
      <w:r w:rsidR="00CB2955" w:rsidRPr="00E663F4">
        <w:rPr>
          <w:rFonts w:ascii="Times New Roman" w:hAnsi="Times New Roman"/>
          <w:sz w:val="24"/>
          <w:szCs w:val="24"/>
          <w:lang w:val="es-ES"/>
        </w:rPr>
        <w:t xml:space="preserve"> - hodogram</w:t>
      </w:r>
      <w:bookmarkEnd w:id="45"/>
      <w:bookmarkEnd w:id="46"/>
    </w:p>
    <w:p w:rsidR="000A0DEC" w:rsidRPr="00E663F4" w:rsidRDefault="000A0DEC" w:rsidP="00CB2955">
      <w:pPr>
        <w:pStyle w:val="Naslov4"/>
        <w:rPr>
          <w:rFonts w:ascii="Times New Roman" w:hAnsi="Times New Roman"/>
          <w:sz w:val="24"/>
          <w:szCs w:val="24"/>
        </w:rPr>
      </w:pPr>
      <w:r w:rsidRPr="00E663F4">
        <w:rPr>
          <w:rFonts w:ascii="Times New Roman" w:hAnsi="Times New Roman"/>
          <w:sz w:val="24"/>
          <w:szCs w:val="24"/>
        </w:rPr>
        <w:t>Hormonska terapija nakon uklanjanja spolnih žlijezda</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Hormonska zamjena estrogenom ili testosteronom nakon ooforektomije ili orhidektomije obično traje tijekom čitavoga života, osim u slučaju medicinskih kontraindikacija. Budući da se hormonske doze često snižavaju nakon tih operativnih zahvata (Basson, 2001; Levy, Crown i Reid, 2003; Moore, Wisniewski i Dobs, 2003) i samo prilagođavaju životnoj dobi i komorbiditetnim zdravstvenim tegobama, primjena hormona u takvoj je situaciji vrlo slična nadomjesnoj  hormonskoj terapiji kod bilo </w:t>
      </w:r>
      <w:r w:rsidR="00CB2955" w:rsidRPr="00E663F4">
        <w:rPr>
          <w:rFonts w:ascii="Times New Roman" w:hAnsi="Times New Roman"/>
          <w:sz w:val="24"/>
          <w:szCs w:val="24"/>
        </w:rPr>
        <w:t>osoba s</w:t>
      </w:r>
      <w:r w:rsidRPr="00E663F4">
        <w:rPr>
          <w:rFonts w:ascii="Times New Roman" w:hAnsi="Times New Roman"/>
          <w:sz w:val="24"/>
          <w:szCs w:val="24"/>
        </w:rPr>
        <w:t xml:space="preserve"> hipogonadizmom.</w:t>
      </w:r>
    </w:p>
    <w:p w:rsidR="000A0DEC" w:rsidRPr="00E663F4" w:rsidRDefault="000A0DEC" w:rsidP="00CB2955">
      <w:pPr>
        <w:pStyle w:val="Naslov4"/>
        <w:rPr>
          <w:rFonts w:ascii="Times New Roman" w:hAnsi="Times New Roman"/>
          <w:sz w:val="24"/>
          <w:szCs w:val="24"/>
        </w:rPr>
      </w:pPr>
      <w:r w:rsidRPr="00E663F4">
        <w:rPr>
          <w:rFonts w:ascii="Times New Roman" w:hAnsi="Times New Roman"/>
          <w:sz w:val="24"/>
          <w:szCs w:val="24"/>
        </w:rPr>
        <w:t>Održavanje razine hormona prije uklanjanja spolnih žlijezda</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Jednom kada </w:t>
      </w:r>
      <w:r w:rsidR="00CB2955" w:rsidRPr="00E663F4">
        <w:rPr>
          <w:rFonts w:ascii="Times New Roman" w:hAnsi="Times New Roman"/>
          <w:sz w:val="24"/>
          <w:szCs w:val="24"/>
        </w:rPr>
        <w:t>osoba</w:t>
      </w:r>
      <w:r w:rsidRPr="00E663F4">
        <w:rPr>
          <w:rFonts w:ascii="Times New Roman" w:hAnsi="Times New Roman"/>
          <w:sz w:val="24"/>
          <w:szCs w:val="24"/>
        </w:rPr>
        <w:t xml:space="preserve"> postigne željene rezultate u feminizaciji/maskulinizaciji lijekovima (obično nakon dvije ili više godina), ostaje na dozi koja održava postignutu razinu hormona. Ta se doza potom prilagođava promjenama u zdravstvenome stanju, starenju i drugim faktorima poput promjena životnoga stila (Dahl i sur., 2006). Pacijenta/icu bi trebalo redovito pratiti fizičkim pregledima i laboratorijskim testovima, kao što se to navodi u literaturi (Feldman i Safer, 2009; Hembree i sur., 2009). Doziranje i oblik lijekova trebalo bi redovito preispitivati u odnosu na promjene u zdravstvenome statusu te dostupnim dokazima o potencijalnim rizicima povezanima s du</w:t>
      </w:r>
      <w:r w:rsidR="00CB2955" w:rsidRPr="00E663F4">
        <w:rPr>
          <w:rFonts w:ascii="Times New Roman" w:hAnsi="Times New Roman"/>
          <w:sz w:val="24"/>
          <w:szCs w:val="24"/>
        </w:rPr>
        <w:t>gotrajnom primjenom hormona</w:t>
      </w:r>
      <w:r w:rsidRPr="00E663F4">
        <w:rPr>
          <w:rFonts w:ascii="Times New Roman" w:hAnsi="Times New Roman"/>
          <w:sz w:val="24"/>
          <w:szCs w:val="24"/>
        </w:rPr>
        <w:t>.</w:t>
      </w:r>
    </w:p>
    <w:p w:rsidR="000A0DEC" w:rsidRPr="00E663F4" w:rsidRDefault="000A0DEC" w:rsidP="00CB2955">
      <w:pPr>
        <w:pStyle w:val="Naslov4"/>
        <w:rPr>
          <w:rFonts w:ascii="Times New Roman" w:hAnsi="Times New Roman"/>
          <w:sz w:val="24"/>
          <w:szCs w:val="24"/>
        </w:rPr>
      </w:pPr>
      <w:r w:rsidRPr="00E663F4">
        <w:rPr>
          <w:rFonts w:ascii="Times New Roman" w:hAnsi="Times New Roman"/>
          <w:sz w:val="24"/>
          <w:szCs w:val="24"/>
        </w:rPr>
        <w:lastRenderedPageBreak/>
        <w:t>Započinjanje hormonske feminizacije/maskulinizacije</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Medikamentoznu terapiju potrebno je individualizirati u skladu s ciljevima, omjeru rizika i koristi lijekova, prisutnosti drugih zdravstvenih stanja, a u obzir valja uzeti društvena i ekonomska pitanja. Iako se u literaturi pojavljuje mnogo različitih režima feminizirajuće/ maskulnizirajuće terapije (Dahl i sur., 2006; Hembree i sur., 2009; Moore i sur., 2003), ), ne postoje objavljeni rezultati kliničkih istraživanja provedenih na slučajnim uzorcima koji uspoređuju njihovu sigurnost i učinkovitost. Unatoč tome, jednu razumnu shemu za procjenu početnih rizika i kontinuirani nadzor hormonske terapije moguće je sastaviti na temelju ranije navedenih dokaza o učinkovitosti i sigurnosti.</w:t>
      </w:r>
    </w:p>
    <w:p w:rsidR="000A0DEC" w:rsidRPr="00E663F4" w:rsidRDefault="000A0DEC" w:rsidP="000A0DEC">
      <w:pPr>
        <w:spacing w:line="360" w:lineRule="auto"/>
        <w:jc w:val="both"/>
        <w:rPr>
          <w:rFonts w:ascii="Times New Roman" w:hAnsi="Times New Roman"/>
          <w:sz w:val="24"/>
          <w:szCs w:val="24"/>
          <w:highlight w:val="yellow"/>
        </w:rPr>
      </w:pPr>
    </w:p>
    <w:p w:rsidR="000A0DEC" w:rsidRPr="00E663F4" w:rsidRDefault="000A0DEC" w:rsidP="00CB2955">
      <w:pPr>
        <w:pStyle w:val="Naslov3"/>
        <w:rPr>
          <w:rFonts w:ascii="Times New Roman" w:hAnsi="Times New Roman"/>
          <w:sz w:val="24"/>
          <w:szCs w:val="24"/>
        </w:rPr>
      </w:pPr>
      <w:bookmarkStart w:id="47" w:name="_Toc431396778"/>
      <w:bookmarkStart w:id="48" w:name="_Toc431396901"/>
      <w:r w:rsidRPr="00E663F4">
        <w:rPr>
          <w:rFonts w:ascii="Times New Roman" w:hAnsi="Times New Roman"/>
          <w:sz w:val="24"/>
          <w:szCs w:val="24"/>
        </w:rPr>
        <w:t>Procjena rizika i prilagodbe potrebne za započinjanje hormonske terapije</w:t>
      </w:r>
      <w:bookmarkEnd w:id="47"/>
      <w:bookmarkEnd w:id="48"/>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Početna evaluacija </w:t>
      </w:r>
      <w:r w:rsidR="00CB2955" w:rsidRPr="00E663F4">
        <w:rPr>
          <w:rFonts w:ascii="Times New Roman" w:hAnsi="Times New Roman"/>
          <w:sz w:val="24"/>
          <w:szCs w:val="24"/>
        </w:rPr>
        <w:t>osobe</w:t>
      </w:r>
      <w:r w:rsidRPr="00E663F4">
        <w:rPr>
          <w:rFonts w:ascii="Times New Roman" w:hAnsi="Times New Roman"/>
          <w:sz w:val="24"/>
          <w:szCs w:val="24"/>
        </w:rPr>
        <w:t xml:space="preserve"> za medikamentoznu terapiju procjenjuje njihove kliničke ciljeve i rizične faktore koji bi mogli dovesti do nepoželjnih nuspojava povezanih s tim lijekovima. Sve procjene trebaju sadržavati temeljit fizički pregled s mjerenjem težine, visine i krvnoga tlaka. Određivanje potrebe za pregledom dojki, te spolnih organa</w:t>
      </w:r>
      <w:r w:rsidR="00CB2955" w:rsidRPr="00E663F4">
        <w:rPr>
          <w:rFonts w:ascii="Times New Roman" w:hAnsi="Times New Roman"/>
          <w:sz w:val="24"/>
          <w:szCs w:val="24"/>
        </w:rPr>
        <w:t xml:space="preserve"> </w:t>
      </w:r>
      <w:r w:rsidRPr="00E663F4">
        <w:rPr>
          <w:rFonts w:ascii="Times New Roman" w:hAnsi="Times New Roman"/>
          <w:sz w:val="24"/>
          <w:szCs w:val="24"/>
        </w:rPr>
        <w:t>treba temeljiti na individualnim rizicima i potrebama za preventivnom zdravstvenom zaštitom (Feldman i Goldberg, 2006; Feldman, 2007).</w:t>
      </w:r>
    </w:p>
    <w:p w:rsidR="000A0DEC" w:rsidRPr="00E663F4" w:rsidRDefault="000A0DEC" w:rsidP="00BF5979">
      <w:pPr>
        <w:pStyle w:val="Naslov3"/>
        <w:rPr>
          <w:rFonts w:ascii="Times New Roman" w:hAnsi="Times New Roman"/>
          <w:sz w:val="24"/>
          <w:szCs w:val="24"/>
        </w:rPr>
      </w:pPr>
      <w:bookmarkStart w:id="49" w:name="_Toc431396779"/>
      <w:bookmarkStart w:id="50" w:name="_Toc431396902"/>
      <w:r w:rsidRPr="00E663F4">
        <w:rPr>
          <w:rFonts w:ascii="Times New Roman" w:hAnsi="Times New Roman"/>
          <w:sz w:val="24"/>
          <w:szCs w:val="24"/>
        </w:rPr>
        <w:t>Procjena rizika i prilagodbe potrebne za feminizirajuću hormonsku terapiju (MtF)</w:t>
      </w:r>
      <w:bookmarkEnd w:id="49"/>
      <w:bookmarkEnd w:id="50"/>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Feminizirajuća terapija sama po sebi nema apsolutnih kontraindikacija, ali apsolutne kontraindikacije postoje za različite feminizirajuće agense, naročito estrogen. Među njima su prethodna venozna tromboza povezana s hiperkoagulabilnim stanjem, povijest neoplazme osjetljive na estrogen te zadnji stadij kronične jetrene bolesti (Gharib i sur., 2005).</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Druga se medicinska stanja, ka</w:t>
      </w:r>
      <w:r w:rsidR="00CB2955" w:rsidRPr="00E663F4">
        <w:rPr>
          <w:rFonts w:ascii="Times New Roman" w:hAnsi="Times New Roman"/>
          <w:sz w:val="24"/>
          <w:szCs w:val="24"/>
        </w:rPr>
        <w:t>o što je zabilježeno u Tablici 4</w:t>
      </w:r>
      <w:r w:rsidRPr="00E663F4">
        <w:rPr>
          <w:rFonts w:ascii="Times New Roman" w:hAnsi="Times New Roman"/>
          <w:sz w:val="24"/>
          <w:szCs w:val="24"/>
        </w:rPr>
        <w:t xml:space="preserve">, mogu pogoršati uslijed blokade sinteze ili djelovanja androgena, pa ih stoga treba evaluirati i staviti pod kontrolu prije započinjanja hormonske terapije (Feldman i Safer, 2009; Hembree i sur., 2009). </w:t>
      </w:r>
      <w:r w:rsidR="00CB2955" w:rsidRPr="00E663F4">
        <w:rPr>
          <w:rFonts w:ascii="Times New Roman" w:hAnsi="Times New Roman"/>
          <w:sz w:val="24"/>
          <w:szCs w:val="24"/>
        </w:rPr>
        <w:t xml:space="preserve">Valja pažnju obratiti na konzumiranje duhana. </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Bazalne laboratorijske vrijednosti važne su za procjenu početnoga rizika i evaluaciju mogućih nepoželjnih nuspojava u budućnosti. Laboratorijske testove trebalo bi obaviti u skladu s rizicima feminizirajuće </w:t>
      </w:r>
      <w:r w:rsidR="00CB2955" w:rsidRPr="00E663F4">
        <w:rPr>
          <w:rFonts w:ascii="Times New Roman" w:hAnsi="Times New Roman"/>
          <w:sz w:val="24"/>
          <w:szCs w:val="24"/>
        </w:rPr>
        <w:t>terapije, navedenima u Tablici 4</w:t>
      </w:r>
      <w:r w:rsidRPr="00E663F4">
        <w:rPr>
          <w:rFonts w:ascii="Times New Roman" w:hAnsi="Times New Roman"/>
          <w:sz w:val="24"/>
          <w:szCs w:val="24"/>
        </w:rPr>
        <w:t xml:space="preserve">, i individualnim rizičnim faktorima, uključujući obiteljsku anamnezu. Predlošci laboratorijskih testova su objavljeni (Feldman i Safer, 2009; Hembree i sur., 2009). </w:t>
      </w:r>
    </w:p>
    <w:p w:rsidR="000A0DEC" w:rsidRPr="00E663F4" w:rsidRDefault="000A0DEC" w:rsidP="00BF5979">
      <w:pPr>
        <w:pStyle w:val="Naslov3"/>
        <w:rPr>
          <w:rFonts w:ascii="Times New Roman" w:hAnsi="Times New Roman"/>
          <w:sz w:val="24"/>
          <w:szCs w:val="24"/>
        </w:rPr>
      </w:pPr>
      <w:bookmarkStart w:id="51" w:name="_Toc431396780"/>
      <w:bookmarkStart w:id="52" w:name="_Toc431396903"/>
      <w:r w:rsidRPr="00E663F4">
        <w:rPr>
          <w:rFonts w:ascii="Times New Roman" w:hAnsi="Times New Roman"/>
          <w:sz w:val="24"/>
          <w:szCs w:val="24"/>
        </w:rPr>
        <w:lastRenderedPageBreak/>
        <w:t>Procjena rizika i prilagodbe potrebne za maskulinizirajuću hormonsku terapiju (FtM)</w:t>
      </w:r>
      <w:bookmarkEnd w:id="51"/>
      <w:bookmarkEnd w:id="52"/>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Među apsolutnim kontraindikacijama za terapiju testosteronom su trudnoća, nestabilna koronarna bolest srca te netretirana policitemija s hematokritom od 0,55 ili više (Carnegie, 2004). Budući da aromatizacija testosterona u estrogen može povisiti rizik kod </w:t>
      </w:r>
      <w:r w:rsidR="00CB2955" w:rsidRPr="00E663F4">
        <w:rPr>
          <w:rFonts w:ascii="Times New Roman" w:hAnsi="Times New Roman"/>
          <w:sz w:val="24"/>
          <w:szCs w:val="24"/>
        </w:rPr>
        <w:t>osoba</w:t>
      </w:r>
      <w:r w:rsidRPr="00E663F4">
        <w:rPr>
          <w:rFonts w:ascii="Times New Roman" w:hAnsi="Times New Roman"/>
          <w:sz w:val="24"/>
          <w:szCs w:val="24"/>
        </w:rPr>
        <w:t xml:space="preserve"> s anamnezom raka dojke ili drugim karcinomima koji ovise o estrogenu (Moore i sur., 2003)</w:t>
      </w:r>
      <w:r w:rsidR="00CB2955" w:rsidRPr="00E663F4">
        <w:rPr>
          <w:rFonts w:ascii="Times New Roman" w:hAnsi="Times New Roman"/>
          <w:sz w:val="24"/>
          <w:szCs w:val="24"/>
        </w:rPr>
        <w:t>, konzultacije s onkologom</w:t>
      </w:r>
      <w:r w:rsidRPr="00E663F4">
        <w:rPr>
          <w:rFonts w:ascii="Times New Roman" w:hAnsi="Times New Roman"/>
          <w:sz w:val="24"/>
          <w:szCs w:val="24"/>
        </w:rPr>
        <w:t xml:space="preserve"> mogu biti indicirane prije same primjene hormona. Trebalo bi evaluirati i tretirati sva komorbiditetna stanja koja bi se mogla pogoršati primjenom testosterona, i to prije započinjanja hormonske terapije (Feldman i Safer, 2009; Hembree i sur., 2009). </w:t>
      </w:r>
      <w:r w:rsidR="00CB2955" w:rsidRPr="00E663F4">
        <w:rPr>
          <w:rFonts w:ascii="Times New Roman" w:hAnsi="Times New Roman"/>
          <w:sz w:val="24"/>
          <w:szCs w:val="24"/>
        </w:rPr>
        <w:t>Osobama</w:t>
      </w:r>
      <w:r w:rsidRPr="00E663F4">
        <w:rPr>
          <w:rFonts w:ascii="Times New Roman" w:hAnsi="Times New Roman"/>
          <w:sz w:val="24"/>
          <w:szCs w:val="24"/>
        </w:rPr>
        <w:t xml:space="preserve"> s prethodnim kardiovaskularnim ili cerebrovaskularnim bolestima preporučuju se konzultacije s kardiologom (Dhejne i sur., 2011).</w:t>
      </w:r>
    </w:p>
    <w:p w:rsidR="00CB2955"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Povišena prevalencija sindroma policističnih jajnika (PCOS) zabilježena je kod FtM </w:t>
      </w:r>
      <w:r w:rsidR="00CB2955" w:rsidRPr="00E663F4">
        <w:rPr>
          <w:rFonts w:ascii="Times New Roman" w:hAnsi="Times New Roman"/>
          <w:sz w:val="24"/>
          <w:szCs w:val="24"/>
        </w:rPr>
        <w:t>osoba</w:t>
      </w:r>
      <w:r w:rsidRPr="00E663F4">
        <w:rPr>
          <w:rFonts w:ascii="Times New Roman" w:hAnsi="Times New Roman"/>
          <w:sz w:val="24"/>
          <w:szCs w:val="24"/>
        </w:rPr>
        <w:t>, čak i kada ne koriste hormonal</w:t>
      </w:r>
      <w:r w:rsidR="00DE7C55" w:rsidRPr="00E663F4">
        <w:rPr>
          <w:rFonts w:ascii="Times New Roman" w:hAnsi="Times New Roman"/>
          <w:sz w:val="24"/>
          <w:szCs w:val="24"/>
        </w:rPr>
        <w:t>ne pripravke (Baba i sur., 2007</w:t>
      </w:r>
      <w:r w:rsidRPr="00E663F4">
        <w:rPr>
          <w:rFonts w:ascii="Times New Roman" w:hAnsi="Times New Roman"/>
          <w:sz w:val="24"/>
          <w:szCs w:val="24"/>
        </w:rPr>
        <w:t xml:space="preserve">). Premda nema dokaza da je PCOS povezan s razvojem transpolnoga, transrodnoga ili rodno nenormativnoga identiteta, PCOS jest povezan s povećanim rizikom od dijabetesa, srčanim bolestima, visokim krvnim tlakom te rakom jajnika i endometrija (Cattrall i Healy, 2004). </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Bazalne laboratorijske vrijednosti važne su za procjenu početnoga rizika i evaluaciju mogućih nepoželjnih nuspojava u budućnosti. Laboratorijske testove trebalo bi obaviti u skladu s rizicima maskulinizirajuće hormonske terapije, navedenima u Tablici </w:t>
      </w:r>
      <w:r w:rsidR="00CB2955" w:rsidRPr="00E663F4">
        <w:rPr>
          <w:rFonts w:ascii="Times New Roman" w:hAnsi="Times New Roman"/>
          <w:sz w:val="24"/>
          <w:szCs w:val="24"/>
        </w:rPr>
        <w:t>4</w:t>
      </w:r>
      <w:r w:rsidRPr="00E663F4">
        <w:rPr>
          <w:rFonts w:ascii="Times New Roman" w:hAnsi="Times New Roman"/>
          <w:sz w:val="24"/>
          <w:szCs w:val="24"/>
        </w:rPr>
        <w:t xml:space="preserve">, i individualnim rizičnim faktorima, uključujući obiteljsku anamnezu. Predlošci laboratorijskih testova su objavljeni (Feldman i Safer, 2009; Hembree i sur., 2009). </w:t>
      </w:r>
    </w:p>
    <w:p w:rsidR="00CB2955" w:rsidRPr="00E663F4" w:rsidRDefault="00CB2955" w:rsidP="00CB2955">
      <w:pPr>
        <w:spacing w:line="360" w:lineRule="auto"/>
        <w:ind w:firstLine="708"/>
        <w:jc w:val="both"/>
        <w:rPr>
          <w:rFonts w:ascii="Times New Roman" w:hAnsi="Times New Roman"/>
          <w:b/>
          <w:sz w:val="24"/>
          <w:szCs w:val="24"/>
          <w:highlight w:val="yellow"/>
        </w:rPr>
      </w:pPr>
    </w:p>
    <w:p w:rsidR="000A0DEC" w:rsidRPr="00E663F4" w:rsidRDefault="000A0DEC" w:rsidP="00CB2955">
      <w:pPr>
        <w:pStyle w:val="Naslov3"/>
        <w:rPr>
          <w:rFonts w:ascii="Times New Roman" w:hAnsi="Times New Roman"/>
          <w:sz w:val="24"/>
          <w:szCs w:val="24"/>
        </w:rPr>
      </w:pPr>
      <w:bookmarkStart w:id="53" w:name="_Toc431396781"/>
      <w:bookmarkStart w:id="54" w:name="_Toc431396904"/>
      <w:r w:rsidRPr="00E663F4">
        <w:rPr>
          <w:rFonts w:ascii="Times New Roman" w:hAnsi="Times New Roman"/>
          <w:sz w:val="24"/>
          <w:szCs w:val="24"/>
        </w:rPr>
        <w:t>Kliničko praćenje radi učinkovitosti i uočavanja nepoželjnih nuspojava tijekom terapije</w:t>
      </w:r>
      <w:bookmarkEnd w:id="53"/>
      <w:bookmarkEnd w:id="54"/>
      <w:r w:rsidR="00DE7C55" w:rsidRPr="00E663F4">
        <w:rPr>
          <w:rFonts w:ascii="Times New Roman" w:hAnsi="Times New Roman"/>
          <w:sz w:val="24"/>
          <w:szCs w:val="24"/>
        </w:rPr>
        <w:t xml:space="preserve"> s hormonskim učincima</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Svrha kliničkoga praćenja tijekom primjene hormona procjenjivanje je stupnja feminizacije/maskulinizacije te moguće prisutnosti nepoželjnih nuspojava lijekova. Međutim, kao i tijekom praćenja dugotrajne primjene lijekova, praćenje se treba odvijati u kontekstu obuhvatne zdravstvene skrbi. Dostupni su objavljeni protokoli za kliničko praćenje (Feldman i Safer, 2009; Hembree i sur., 2009). </w:t>
      </w:r>
    </w:p>
    <w:p w:rsidR="000A0DEC" w:rsidRPr="00E663F4" w:rsidRDefault="000A0DEC" w:rsidP="00CB2955">
      <w:pPr>
        <w:pStyle w:val="Naslov3"/>
        <w:rPr>
          <w:rFonts w:ascii="Times New Roman" w:hAnsi="Times New Roman"/>
          <w:sz w:val="24"/>
          <w:szCs w:val="24"/>
        </w:rPr>
      </w:pPr>
      <w:bookmarkStart w:id="55" w:name="_Toc431396782"/>
      <w:bookmarkStart w:id="56" w:name="_Toc431396905"/>
      <w:r w:rsidRPr="00E663F4">
        <w:rPr>
          <w:rFonts w:ascii="Times New Roman" w:hAnsi="Times New Roman"/>
          <w:sz w:val="24"/>
          <w:szCs w:val="24"/>
        </w:rPr>
        <w:t>Učinkovitost i praćenje rizika tijekom feminizirajuće hormonske terapije (MtF)</w:t>
      </w:r>
      <w:bookmarkEnd w:id="55"/>
      <w:bookmarkEnd w:id="56"/>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Učinkovitost liječenja najbolje se može procijeniti pomoću kliničkoga odgovora na terapiju -  razvija li se kod </w:t>
      </w:r>
      <w:r w:rsidR="00504A4B" w:rsidRPr="00E663F4">
        <w:rPr>
          <w:rFonts w:ascii="Times New Roman" w:hAnsi="Times New Roman"/>
          <w:sz w:val="24"/>
          <w:szCs w:val="24"/>
        </w:rPr>
        <w:t>osobe</w:t>
      </w:r>
      <w:r w:rsidRPr="00E663F4">
        <w:rPr>
          <w:rFonts w:ascii="Times New Roman" w:hAnsi="Times New Roman"/>
          <w:sz w:val="24"/>
          <w:szCs w:val="24"/>
        </w:rPr>
        <w:t xml:space="preserve"> feminizirano tijelo istovremeno s minimalizacijom maskulinih karakteristika. Da bi se što brže predvidjelo doziranje lijekova koji će postići klinički </w:t>
      </w:r>
      <w:r w:rsidRPr="00E663F4">
        <w:rPr>
          <w:rFonts w:ascii="Times New Roman" w:hAnsi="Times New Roman"/>
          <w:sz w:val="24"/>
          <w:szCs w:val="24"/>
        </w:rPr>
        <w:lastRenderedPageBreak/>
        <w:t>odgovor, moguće je mjeriti spuštanje razine testosterona ispod normalnih gornjih vrijednosti za žene te podizanje razine estradiola u raspon vrijednosti kod žena u predmenopauzi, ali znatno ispod suprafizioloških razina (Feldman i Safer; Hembree i sur., 2009).</w:t>
      </w:r>
    </w:p>
    <w:p w:rsidR="000A0DEC" w:rsidRPr="00E663F4" w:rsidRDefault="000A0DEC" w:rsidP="000A0DEC">
      <w:pPr>
        <w:spacing w:line="360" w:lineRule="auto"/>
        <w:jc w:val="both"/>
        <w:rPr>
          <w:rFonts w:ascii="Times New Roman" w:hAnsi="Times New Roman"/>
          <w:sz w:val="24"/>
          <w:szCs w:val="24"/>
        </w:rPr>
      </w:pPr>
      <w:r w:rsidRPr="00E663F4">
        <w:rPr>
          <w:rFonts w:ascii="Times New Roman" w:hAnsi="Times New Roman"/>
          <w:sz w:val="24"/>
          <w:szCs w:val="24"/>
        </w:rPr>
        <w:t xml:space="preserve">Praćenje radi uočavanja nepoželjnih nuspojava trebalo bi sadržavati i kliničku i laboratorijsku evaluaciju. Naknadno praćenje trebalo bi uključivati detaljni pregled na znakove kardiovaskularnih oštećenja i venozne tromboze mjerenjem krvnoga tlaka, težine i pulsa, pregledom srca i pluća te pregledom ekstremiteta zbog mogućih perifernih edema, lokalizirane otekline ili boli (Feldman i Safer, 2009). </w:t>
      </w:r>
    </w:p>
    <w:p w:rsidR="000A0DEC" w:rsidRPr="00E663F4" w:rsidRDefault="000A0DEC" w:rsidP="00CB2955">
      <w:pPr>
        <w:pStyle w:val="Naslov3"/>
        <w:rPr>
          <w:rFonts w:ascii="Times New Roman" w:hAnsi="Times New Roman"/>
          <w:sz w:val="24"/>
          <w:szCs w:val="24"/>
        </w:rPr>
      </w:pPr>
      <w:bookmarkStart w:id="57" w:name="_Toc431396783"/>
      <w:bookmarkStart w:id="58" w:name="_Toc431396906"/>
      <w:r w:rsidRPr="00E663F4">
        <w:rPr>
          <w:rFonts w:ascii="Times New Roman" w:hAnsi="Times New Roman"/>
          <w:sz w:val="24"/>
          <w:szCs w:val="24"/>
        </w:rPr>
        <w:t>Učinkovitost i praćenje rizika tijekom maskulinizirajuće hormonske terapije (FtM)</w:t>
      </w:r>
      <w:bookmarkEnd w:id="57"/>
      <w:bookmarkEnd w:id="58"/>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Učinkovitost liječenja najbolje se može procijeniti pomoću kliničkoga odgovora na terapiju -  razvija li se kod </w:t>
      </w:r>
      <w:r w:rsidR="00504A4B" w:rsidRPr="00E663F4">
        <w:rPr>
          <w:rFonts w:ascii="Times New Roman" w:hAnsi="Times New Roman"/>
          <w:sz w:val="24"/>
          <w:szCs w:val="24"/>
        </w:rPr>
        <w:t>osobe</w:t>
      </w:r>
      <w:r w:rsidRPr="00E663F4">
        <w:rPr>
          <w:rFonts w:ascii="Times New Roman" w:hAnsi="Times New Roman"/>
          <w:sz w:val="24"/>
          <w:szCs w:val="24"/>
        </w:rPr>
        <w:t xml:space="preserve"> maskulinizirano tijelo istovremeno s minimalizacijom femininih karakteristika. Dobar klinički odgovor na terapiju s najmanjom vjerojatnošću nepoželjnih nuspojava mo</w:t>
      </w:r>
      <w:r w:rsidR="00504A4B" w:rsidRPr="00E663F4">
        <w:rPr>
          <w:rFonts w:ascii="Times New Roman" w:hAnsi="Times New Roman"/>
          <w:sz w:val="24"/>
          <w:szCs w:val="24"/>
        </w:rPr>
        <w:t>že se</w:t>
      </w:r>
      <w:r w:rsidRPr="00E663F4">
        <w:rPr>
          <w:rFonts w:ascii="Times New Roman" w:hAnsi="Times New Roman"/>
          <w:sz w:val="24"/>
          <w:szCs w:val="24"/>
        </w:rPr>
        <w:t xml:space="preserve"> postići održavanjem razine testosterona u normalnim vrijednostima za muškarce s istovremenim izbjegavanjem suprafizioloških razina (Dahl i sur., 2006; Hembree i sur., 2009). Kod </w:t>
      </w:r>
      <w:r w:rsidR="00504A4B" w:rsidRPr="00E663F4">
        <w:rPr>
          <w:rFonts w:ascii="Times New Roman" w:hAnsi="Times New Roman"/>
          <w:sz w:val="24"/>
          <w:szCs w:val="24"/>
        </w:rPr>
        <w:t>osoba</w:t>
      </w:r>
      <w:r w:rsidRPr="00E663F4">
        <w:rPr>
          <w:rFonts w:ascii="Times New Roman" w:hAnsi="Times New Roman"/>
          <w:sz w:val="24"/>
          <w:szCs w:val="24"/>
        </w:rPr>
        <w:t xml:space="preserve"> koji testosteron cipionat ili enantat koriste intramuskularno (IM), </w:t>
      </w:r>
      <w:r w:rsidR="00504A4B" w:rsidRPr="00E663F4">
        <w:rPr>
          <w:rFonts w:ascii="Times New Roman" w:hAnsi="Times New Roman"/>
          <w:sz w:val="24"/>
          <w:szCs w:val="24"/>
        </w:rPr>
        <w:t xml:space="preserve">može se </w:t>
      </w:r>
      <w:r w:rsidRPr="00E663F4">
        <w:rPr>
          <w:rFonts w:ascii="Times New Roman" w:hAnsi="Times New Roman"/>
          <w:sz w:val="24"/>
          <w:szCs w:val="24"/>
        </w:rPr>
        <w:t>prat</w:t>
      </w:r>
      <w:r w:rsidR="00504A4B" w:rsidRPr="00E663F4">
        <w:rPr>
          <w:rFonts w:ascii="Times New Roman" w:hAnsi="Times New Roman"/>
          <w:sz w:val="24"/>
          <w:szCs w:val="24"/>
        </w:rPr>
        <w:t>iti najniža</w:t>
      </w:r>
      <w:r w:rsidRPr="00E663F4">
        <w:rPr>
          <w:rFonts w:ascii="Times New Roman" w:hAnsi="Times New Roman"/>
          <w:sz w:val="24"/>
          <w:szCs w:val="24"/>
        </w:rPr>
        <w:t xml:space="preserve"> koncentraciju testosterone ( koncentraciju testosterona krvi na kraju intervala doziranja ).  </w:t>
      </w:r>
    </w:p>
    <w:p w:rsidR="000A0DEC" w:rsidRPr="00E663F4" w:rsidRDefault="000A0DEC" w:rsidP="00E663F4">
      <w:pPr>
        <w:spacing w:line="360" w:lineRule="auto"/>
        <w:jc w:val="both"/>
        <w:rPr>
          <w:rFonts w:ascii="Times New Roman" w:hAnsi="Times New Roman"/>
          <w:sz w:val="24"/>
          <w:szCs w:val="24"/>
          <w:lang w:val="es-ES"/>
        </w:rPr>
      </w:pPr>
      <w:r w:rsidRPr="00E663F4">
        <w:rPr>
          <w:rFonts w:ascii="Times New Roman" w:hAnsi="Times New Roman"/>
          <w:sz w:val="24"/>
          <w:szCs w:val="24"/>
        </w:rPr>
        <w:t xml:space="preserve">Praćenje radi uočavanja nepoželjnih nuspojava trebalo bi sadržavati i kliničku i laboratorijsku evaluaciju. Naknadno praćenje trebalo bi uključivati detaljni pregled na znakove i simptome pretjeranoga povećanja tjelesne težine, akni, probojnih krvarenja iz maternice te psihijatrijske simptome kod rizičnih pacijenata/ica. Fizički pregledi trebali bi sadržavati mjerenje krvnoga tlaka, težine i pulsa, preglede srca i pluća te preglede kože (Feldman i Safer, 2009). </w:t>
      </w:r>
    </w:p>
    <w:p w:rsidR="000A0DEC" w:rsidRPr="00E663F4" w:rsidRDefault="000A0DEC" w:rsidP="00CB2955">
      <w:pPr>
        <w:pStyle w:val="Naslov3"/>
        <w:rPr>
          <w:rFonts w:ascii="Times New Roman" w:hAnsi="Times New Roman"/>
          <w:sz w:val="24"/>
          <w:szCs w:val="24"/>
          <w:lang w:val="es-ES"/>
        </w:rPr>
      </w:pPr>
      <w:bookmarkStart w:id="59" w:name="_Toc431396784"/>
      <w:bookmarkStart w:id="60" w:name="_Toc431396907"/>
      <w:r w:rsidRPr="00E663F4">
        <w:rPr>
          <w:rFonts w:ascii="Times New Roman" w:hAnsi="Times New Roman"/>
          <w:sz w:val="24"/>
          <w:szCs w:val="24"/>
          <w:lang w:val="es-ES"/>
        </w:rPr>
        <w:t>Hormonski režimi</w:t>
      </w:r>
      <w:bookmarkEnd w:id="59"/>
      <w:bookmarkEnd w:id="60"/>
    </w:p>
    <w:p w:rsidR="000A0DEC" w:rsidRPr="00E663F4" w:rsidRDefault="000A0DEC" w:rsidP="00E663F4">
      <w:pPr>
        <w:spacing w:line="360" w:lineRule="auto"/>
        <w:jc w:val="both"/>
        <w:rPr>
          <w:rFonts w:ascii="Times New Roman" w:hAnsi="Times New Roman"/>
          <w:sz w:val="24"/>
          <w:szCs w:val="24"/>
          <w:lang w:val="es-ES"/>
        </w:rPr>
      </w:pPr>
      <w:r w:rsidRPr="00E663F4">
        <w:rPr>
          <w:rFonts w:ascii="Times New Roman" w:hAnsi="Times New Roman"/>
          <w:sz w:val="24"/>
          <w:szCs w:val="24"/>
          <w:lang w:val="es-ES"/>
        </w:rPr>
        <w:t>Do danas nije obavljeno nijedno kontrolirano kliničko ispitivanje režima u feminizirajućoj/maskulinizirajućoj terapiji kojim bi bilo moguće evaluirati njihovu sigurnost ili učinkovitost u postizanju fizičke tranzicije. Posljedično tomu, u medicinskoj literaturi pojavljuje se niz međusobno različitih doza i vrsta lijekova s hormonskim učincima. (Moore i sur., 2003; Tangpricha i sur., 2003;</w:t>
      </w:r>
      <w:r w:rsidR="00A43239" w:rsidRPr="00E663F4">
        <w:rPr>
          <w:rFonts w:ascii="Times New Roman" w:hAnsi="Times New Roman"/>
          <w:sz w:val="24"/>
          <w:szCs w:val="24"/>
          <w:lang w:val="es-ES"/>
        </w:rPr>
        <w:t>).</w:t>
      </w:r>
      <w:r w:rsidRPr="00E663F4">
        <w:rPr>
          <w:rFonts w:ascii="Times New Roman" w:hAnsi="Times New Roman"/>
          <w:sz w:val="24"/>
          <w:szCs w:val="24"/>
          <w:lang w:val="es-ES"/>
        </w:rPr>
        <w:t xml:space="preserve"> K tomu, pristup određenim lijekovima može biti ograničen. Zbog toga Svjetska strukovna organizacija za zdravlje transrodnih osoba ne opisuje niti podupire neki specifični režim feminizirajuće/maskulinizirajuće terapije. Umjesto toga, ovdje se razmatraju različite skupine lijekova i načini njihove primjene u većini objavljenih režima.</w:t>
      </w:r>
    </w:p>
    <w:p w:rsidR="000A0DEC" w:rsidRPr="00E663F4" w:rsidRDefault="000A0DEC" w:rsidP="000A0DEC">
      <w:pPr>
        <w:pStyle w:val="Naslov3"/>
        <w:rPr>
          <w:rFonts w:ascii="Times New Roman" w:hAnsi="Times New Roman"/>
          <w:sz w:val="24"/>
          <w:szCs w:val="24"/>
          <w:lang w:val="es-ES"/>
        </w:rPr>
      </w:pPr>
      <w:bookmarkStart w:id="61" w:name="_Toc431396785"/>
      <w:bookmarkStart w:id="62" w:name="_Toc431396908"/>
      <w:r w:rsidRPr="00E663F4">
        <w:rPr>
          <w:rFonts w:ascii="Times New Roman" w:hAnsi="Times New Roman"/>
          <w:sz w:val="24"/>
          <w:szCs w:val="24"/>
          <w:lang w:val="es-ES"/>
        </w:rPr>
        <w:lastRenderedPageBreak/>
        <w:t>Režimi za feminizirajuću hormonsku terapiju (MtF)</w:t>
      </w:r>
      <w:bookmarkEnd w:id="61"/>
      <w:bookmarkEnd w:id="62"/>
    </w:p>
    <w:p w:rsidR="000A0DEC" w:rsidRPr="00E663F4" w:rsidRDefault="000A0DEC" w:rsidP="000A0DEC">
      <w:pPr>
        <w:pStyle w:val="Naslov4"/>
        <w:rPr>
          <w:rFonts w:ascii="Times New Roman" w:hAnsi="Times New Roman"/>
          <w:sz w:val="24"/>
          <w:szCs w:val="24"/>
          <w:lang w:val="es-ES"/>
        </w:rPr>
      </w:pPr>
      <w:r w:rsidRPr="00E663F4">
        <w:rPr>
          <w:rFonts w:ascii="Times New Roman" w:hAnsi="Times New Roman"/>
          <w:sz w:val="24"/>
          <w:szCs w:val="24"/>
          <w:lang w:val="es-ES"/>
        </w:rPr>
        <w:t>Estrogen</w:t>
      </w:r>
    </w:p>
    <w:p w:rsidR="000A0DEC" w:rsidRPr="00E663F4" w:rsidRDefault="000A0DEC" w:rsidP="00E663F4">
      <w:pPr>
        <w:spacing w:line="360" w:lineRule="auto"/>
        <w:jc w:val="both"/>
        <w:rPr>
          <w:rFonts w:ascii="Times New Roman" w:hAnsi="Times New Roman"/>
          <w:sz w:val="24"/>
          <w:szCs w:val="24"/>
          <w:lang w:val="es-ES"/>
        </w:rPr>
      </w:pPr>
      <w:r w:rsidRPr="00E663F4">
        <w:rPr>
          <w:rFonts w:ascii="Times New Roman" w:hAnsi="Times New Roman"/>
          <w:sz w:val="24"/>
          <w:szCs w:val="24"/>
          <w:lang w:val="es-ES"/>
        </w:rPr>
        <w:t xml:space="preserve">Čini se da oralna primjena estrogena, a specifično etinilestradiola, povećava rizik od venske tromboze. Zbog ovoga zdravstvenoga rizika ne preporučuje se primjena etinilestradiola u feminizirajućoj hormonskoj terapiji. Transdermalna primjena estrogena preporuča se onim pacijentima/icama koji/e već imaju rizične faktore za vensku trombozu. Rizik od nepoželjnih nuspojava raste povećanjem doze, posebice s dozama koje rezultiraju suprafiziološkim razinama (Hembree i sur., 2009). </w:t>
      </w:r>
      <w:r w:rsidR="00504A4B" w:rsidRPr="00E663F4">
        <w:rPr>
          <w:rFonts w:ascii="Times New Roman" w:hAnsi="Times New Roman"/>
          <w:sz w:val="24"/>
          <w:szCs w:val="24"/>
          <w:lang w:val="es-ES"/>
        </w:rPr>
        <w:t>Osobe</w:t>
      </w:r>
      <w:r w:rsidRPr="00E663F4">
        <w:rPr>
          <w:rFonts w:ascii="Times New Roman" w:hAnsi="Times New Roman"/>
          <w:sz w:val="24"/>
          <w:szCs w:val="24"/>
          <w:lang w:val="es-ES"/>
        </w:rPr>
        <w:t xml:space="preserve"> s komorbiditetnim stanjima koji mogu biti pod utjecajem estrogena </w:t>
      </w:r>
      <w:r w:rsidR="00504A4B" w:rsidRPr="00E663F4">
        <w:rPr>
          <w:rFonts w:ascii="Times New Roman" w:hAnsi="Times New Roman"/>
          <w:sz w:val="24"/>
          <w:szCs w:val="24"/>
          <w:lang w:val="es-ES"/>
        </w:rPr>
        <w:t>trebale</w:t>
      </w:r>
      <w:r w:rsidRPr="00E663F4">
        <w:rPr>
          <w:rFonts w:ascii="Times New Roman" w:hAnsi="Times New Roman"/>
          <w:sz w:val="24"/>
          <w:szCs w:val="24"/>
          <w:lang w:val="es-ES"/>
        </w:rPr>
        <w:t xml:space="preserve"> bi izbjegavati njegovu oralnu primjenu, ako je to moguće, i početi od nižih razina. </w:t>
      </w:r>
    </w:p>
    <w:p w:rsidR="000A0DEC" w:rsidRPr="00E663F4" w:rsidRDefault="000A0DEC" w:rsidP="000A0DEC">
      <w:pPr>
        <w:pStyle w:val="Naslov4"/>
        <w:rPr>
          <w:rFonts w:ascii="Times New Roman" w:hAnsi="Times New Roman"/>
          <w:sz w:val="24"/>
          <w:szCs w:val="24"/>
          <w:lang w:val="es-ES"/>
        </w:rPr>
      </w:pPr>
      <w:r w:rsidRPr="00E663F4">
        <w:rPr>
          <w:rFonts w:ascii="Times New Roman" w:hAnsi="Times New Roman"/>
          <w:sz w:val="24"/>
          <w:szCs w:val="24"/>
          <w:lang w:val="es-ES"/>
        </w:rPr>
        <w:t>Lijekovi za snižavanje razine androgena ("anti-androgeni")</w:t>
      </w:r>
    </w:p>
    <w:p w:rsidR="000A0DEC" w:rsidRPr="00E663F4" w:rsidRDefault="000A0DEC" w:rsidP="000A0DEC">
      <w:pPr>
        <w:spacing w:line="360" w:lineRule="auto"/>
        <w:jc w:val="both"/>
        <w:rPr>
          <w:rFonts w:ascii="Times New Roman" w:hAnsi="Times New Roman"/>
          <w:sz w:val="24"/>
          <w:szCs w:val="24"/>
          <w:lang w:val="es-ES"/>
        </w:rPr>
      </w:pPr>
      <w:r w:rsidRPr="00E663F4">
        <w:rPr>
          <w:rFonts w:ascii="Times New Roman" w:hAnsi="Times New Roman"/>
          <w:sz w:val="24"/>
          <w:szCs w:val="24"/>
          <w:lang w:val="es-ES"/>
        </w:rPr>
        <w:t xml:space="preserve">Kombinacija estrogena i "anti-androgena" najproučavaniji je režim za feminizaciju. Učinak lijekova za suzbijanje djelovanja androgena, koji dolaze iz raznih skupina lijekova, jest ili snižavanje razine endogenoga testosterona ili slabljenje djelovanja testosterona, pa stoga i ublažavanje maskulinih karakteristika poput tjelesne dlakavosti. Ti lijekovi snizuju dozu estrogena potrebnu za feminizacijski učinak, a to znači da smanjuju i rizike povezane s visokom dozom egzogenoga estrogena (Prior, Vigna, </w:t>
      </w:r>
      <w:r w:rsidR="00A43239" w:rsidRPr="00E663F4">
        <w:rPr>
          <w:rFonts w:ascii="Times New Roman" w:hAnsi="Times New Roman"/>
          <w:sz w:val="24"/>
          <w:szCs w:val="24"/>
          <w:lang w:val="es-ES"/>
        </w:rPr>
        <w:t>Watson, Diewold i Robinow, 1986</w:t>
      </w:r>
      <w:r w:rsidRPr="00E663F4">
        <w:rPr>
          <w:rFonts w:ascii="Times New Roman" w:hAnsi="Times New Roman"/>
          <w:sz w:val="24"/>
          <w:szCs w:val="24"/>
          <w:lang w:val="es-ES"/>
        </w:rPr>
        <w:t>).</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Često se primjenjuju sljedeći anti-androgeni:</w:t>
      </w:r>
    </w:p>
    <w:p w:rsidR="000A0DEC" w:rsidRPr="00E663F4" w:rsidRDefault="000A0DEC" w:rsidP="000A0DEC">
      <w:pPr>
        <w:pStyle w:val="Odlomakpopisa"/>
        <w:numPr>
          <w:ilvl w:val="0"/>
          <w:numId w:val="11"/>
        </w:numPr>
        <w:suppressAutoHyphens/>
        <w:spacing w:line="360" w:lineRule="auto"/>
        <w:contextualSpacing w:val="0"/>
        <w:jc w:val="both"/>
        <w:rPr>
          <w:rFonts w:ascii="Times New Roman" w:hAnsi="Times New Roman"/>
          <w:sz w:val="24"/>
          <w:szCs w:val="24"/>
        </w:rPr>
      </w:pPr>
      <w:r w:rsidRPr="00E663F4">
        <w:rPr>
          <w:rFonts w:ascii="Times New Roman" w:hAnsi="Times New Roman"/>
          <w:sz w:val="24"/>
          <w:szCs w:val="24"/>
        </w:rPr>
        <w:t>Spironolakton: antihipertenzivni agens koji direktno inhibira lučenje testosterona i vezanje androgena na androgeni receptor. Zbog moguće hiperkalemije potrebno je nadzirati krvni tlak i elektrolite.</w:t>
      </w:r>
    </w:p>
    <w:p w:rsidR="000A0DEC" w:rsidRPr="00E663F4" w:rsidRDefault="000A0DEC" w:rsidP="000A0DEC">
      <w:pPr>
        <w:pStyle w:val="Odlomakpopisa"/>
        <w:numPr>
          <w:ilvl w:val="0"/>
          <w:numId w:val="11"/>
        </w:numPr>
        <w:suppressAutoHyphens/>
        <w:spacing w:line="360" w:lineRule="auto"/>
        <w:contextualSpacing w:val="0"/>
        <w:jc w:val="both"/>
        <w:rPr>
          <w:rFonts w:ascii="Times New Roman" w:hAnsi="Times New Roman"/>
          <w:sz w:val="24"/>
          <w:szCs w:val="24"/>
        </w:rPr>
      </w:pPr>
      <w:r w:rsidRPr="00E663F4">
        <w:rPr>
          <w:rFonts w:ascii="Times New Roman" w:hAnsi="Times New Roman"/>
          <w:sz w:val="24"/>
          <w:szCs w:val="24"/>
        </w:rPr>
        <w:t>Ciproteron acetat: progestin s anti-androgenim svojstvima. Lijek nije odobren u Sjedinjenim Državama zbog njegove potencijalne hepatotoksičnosti, ali u drugim se zemljama često primjenjuje (De Cuypere i sur., 2005).</w:t>
      </w:r>
    </w:p>
    <w:p w:rsidR="000A0DEC" w:rsidRPr="00E663F4" w:rsidRDefault="000A0DEC" w:rsidP="000A0DEC">
      <w:pPr>
        <w:pStyle w:val="Odlomakpopisa"/>
        <w:numPr>
          <w:ilvl w:val="0"/>
          <w:numId w:val="11"/>
        </w:numPr>
        <w:suppressAutoHyphens/>
        <w:spacing w:line="360" w:lineRule="auto"/>
        <w:contextualSpacing w:val="0"/>
        <w:jc w:val="both"/>
        <w:rPr>
          <w:rFonts w:ascii="Times New Roman" w:hAnsi="Times New Roman"/>
          <w:sz w:val="24"/>
          <w:szCs w:val="24"/>
        </w:rPr>
      </w:pPr>
      <w:r w:rsidRPr="00E663F4">
        <w:rPr>
          <w:rFonts w:ascii="Times New Roman" w:hAnsi="Times New Roman"/>
          <w:sz w:val="24"/>
          <w:szCs w:val="24"/>
        </w:rPr>
        <w:t>GnRH agonisti (goserelin, buserelin, triptorelin): neurohormoni koji blokiraju receptor za gonadotropni otpuštajući hormon i na taj način onemogućavaju otpuštanje folikulostimulacijskoga hormona i luteinizirajućega hormona. Korištenjem ovih lijekova postiže se izrazito učinkovito blokiranje gonada. Međutim, riječ je o skupim lijekovima koji su dostupni jedino u obliku injekcije ili implantata.</w:t>
      </w:r>
    </w:p>
    <w:p w:rsidR="000A0DEC" w:rsidRPr="00E663F4" w:rsidRDefault="000A0DEC" w:rsidP="000A0DEC">
      <w:pPr>
        <w:pStyle w:val="Odlomakpopisa"/>
        <w:numPr>
          <w:ilvl w:val="0"/>
          <w:numId w:val="11"/>
        </w:numPr>
        <w:suppressAutoHyphens/>
        <w:spacing w:line="360" w:lineRule="auto"/>
        <w:contextualSpacing w:val="0"/>
        <w:jc w:val="both"/>
        <w:rPr>
          <w:rFonts w:ascii="Times New Roman" w:hAnsi="Times New Roman"/>
          <w:sz w:val="24"/>
          <w:szCs w:val="24"/>
        </w:rPr>
      </w:pPr>
      <w:r w:rsidRPr="00E663F4">
        <w:rPr>
          <w:rFonts w:ascii="Times New Roman" w:hAnsi="Times New Roman"/>
          <w:sz w:val="24"/>
          <w:szCs w:val="24"/>
        </w:rPr>
        <w:lastRenderedPageBreak/>
        <w:t>Inhibitori 5-alfa-reduktaze (finasterid i dutasterid) blokiraju pretvorbu testosterona u aktivniji agens 5-alfa-dihidrotestosteron. Ti lijekovi imaju blagotvoran učinak na ćelavljenje, tjelesnu dlakavost, žlijezde lojnice i ujednačenost tena.</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Ciproteron i spironolakton najčešće su primjenjivani anti-androgeni, a vjerojatno i najučinkovitiji u odnosu na cijenu.</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Dostupnost navedenih tvari se u Republici Hrvatskoj može s vremenom mijenjati. </w:t>
      </w:r>
    </w:p>
    <w:p w:rsidR="000A0DEC" w:rsidRPr="00E663F4" w:rsidRDefault="000A0DEC" w:rsidP="000A0DEC">
      <w:pPr>
        <w:spacing w:line="360" w:lineRule="auto"/>
        <w:jc w:val="both"/>
        <w:rPr>
          <w:rFonts w:ascii="Times New Roman" w:hAnsi="Times New Roman"/>
          <w:sz w:val="24"/>
          <w:szCs w:val="24"/>
          <w:u w:val="single"/>
        </w:rPr>
      </w:pPr>
    </w:p>
    <w:p w:rsidR="000A0DEC" w:rsidRPr="00E663F4" w:rsidRDefault="000A0DEC" w:rsidP="000A0DEC">
      <w:pPr>
        <w:pStyle w:val="Naslov4"/>
        <w:rPr>
          <w:rFonts w:ascii="Times New Roman" w:hAnsi="Times New Roman"/>
          <w:sz w:val="24"/>
          <w:szCs w:val="24"/>
        </w:rPr>
      </w:pPr>
      <w:r w:rsidRPr="00E663F4">
        <w:rPr>
          <w:rFonts w:ascii="Times New Roman" w:hAnsi="Times New Roman"/>
          <w:sz w:val="24"/>
          <w:szCs w:val="24"/>
        </w:rPr>
        <w:t>Progestini</w:t>
      </w:r>
    </w:p>
    <w:p w:rsidR="000A0DEC" w:rsidRPr="00E663F4" w:rsidRDefault="000A0DEC" w:rsidP="00E663F4">
      <w:pPr>
        <w:spacing w:line="360" w:lineRule="auto"/>
        <w:jc w:val="both"/>
        <w:rPr>
          <w:rFonts w:ascii="Times New Roman" w:hAnsi="Times New Roman"/>
          <w:sz w:val="24"/>
          <w:szCs w:val="24"/>
        </w:rPr>
      </w:pPr>
      <w:r w:rsidRPr="00E663F4">
        <w:rPr>
          <w:rFonts w:ascii="Times New Roman" w:hAnsi="Times New Roman"/>
          <w:sz w:val="24"/>
          <w:szCs w:val="24"/>
        </w:rPr>
        <w:t xml:space="preserve">Izuzev primjene ciproterona, primjena ostalih progestina u feminizirajućoj hormonskoj terapiji je kontroverzna (Oriel, 2000). Budući da progestini utječu na razvitak dojki na staničnoj razini, neki/e kliničari/ke vjeruju da su ti agensi nužni za potpuni razvitak dojki (Basson i Prior, 1998; Oriel, 2000). Međutim, klinička usporedba režima za feminizaciju sa i bez progestina pokazala je da primjena progestina nije ni pospješila rast grudi ni snizila serumske razine slobodnoga testosterona (Meyer i sur., 1986). Potencijalne nepoželjne nuspojave progestina zabrinjavaju, a među njima su depresija, porast tjelesne težine i lipidne promjene (Meyer i sur., 1986; Tangpricha i sur., 2003). Za progestine se također sumnja (a posebice za medroksiprogesteron) da povećavaju rizik od raka dojke i kardiovaskularnih bolesti kod žena (Rossouw i sur., 2002). </w:t>
      </w:r>
    </w:p>
    <w:p w:rsidR="000A0DEC" w:rsidRPr="00E663F4" w:rsidRDefault="000A0DEC" w:rsidP="000A0DEC">
      <w:pPr>
        <w:spacing w:line="360" w:lineRule="auto"/>
        <w:ind w:left="360"/>
        <w:jc w:val="both"/>
        <w:rPr>
          <w:rFonts w:ascii="Times New Roman" w:hAnsi="Times New Roman"/>
          <w:b/>
          <w:sz w:val="24"/>
          <w:szCs w:val="24"/>
          <w:highlight w:val="yellow"/>
        </w:rPr>
      </w:pPr>
    </w:p>
    <w:p w:rsidR="000A0DEC" w:rsidRPr="00E663F4" w:rsidRDefault="000A0DEC" w:rsidP="000A0DEC">
      <w:pPr>
        <w:pStyle w:val="Naslov3"/>
        <w:rPr>
          <w:rFonts w:ascii="Times New Roman" w:hAnsi="Times New Roman"/>
          <w:sz w:val="24"/>
          <w:szCs w:val="24"/>
        </w:rPr>
      </w:pPr>
      <w:bookmarkStart w:id="63" w:name="_Toc431396786"/>
      <w:bookmarkStart w:id="64" w:name="_Toc431396909"/>
      <w:r w:rsidRPr="00E663F4">
        <w:rPr>
          <w:rFonts w:ascii="Times New Roman" w:hAnsi="Times New Roman"/>
          <w:sz w:val="24"/>
          <w:szCs w:val="24"/>
        </w:rPr>
        <w:t>Režimi za maskulinizirajuću hormonsku terapiju (FtM)</w:t>
      </w:r>
      <w:bookmarkEnd w:id="63"/>
      <w:bookmarkEnd w:id="64"/>
    </w:p>
    <w:p w:rsidR="000A0DEC" w:rsidRPr="00E663F4" w:rsidRDefault="000A0DEC" w:rsidP="000A0DEC">
      <w:pPr>
        <w:pStyle w:val="Naslov4"/>
        <w:rPr>
          <w:rFonts w:ascii="Times New Roman" w:hAnsi="Times New Roman"/>
          <w:sz w:val="24"/>
          <w:szCs w:val="24"/>
          <w:lang w:val="es-ES"/>
        </w:rPr>
      </w:pPr>
      <w:r w:rsidRPr="00E663F4">
        <w:rPr>
          <w:rFonts w:ascii="Times New Roman" w:hAnsi="Times New Roman"/>
          <w:sz w:val="24"/>
          <w:szCs w:val="24"/>
          <w:lang w:val="es-ES"/>
        </w:rPr>
        <w:t>Testosteron</w:t>
      </w:r>
    </w:p>
    <w:p w:rsidR="000A0DEC" w:rsidRPr="00E663F4" w:rsidRDefault="000A0DEC" w:rsidP="00E663F4">
      <w:pPr>
        <w:spacing w:line="360" w:lineRule="auto"/>
        <w:jc w:val="both"/>
        <w:rPr>
          <w:rFonts w:ascii="Times New Roman" w:hAnsi="Times New Roman"/>
          <w:sz w:val="24"/>
          <w:szCs w:val="24"/>
          <w:highlight w:val="yellow"/>
          <w:lang w:val="es-ES"/>
        </w:rPr>
      </w:pPr>
      <w:r w:rsidRPr="00E663F4">
        <w:rPr>
          <w:rFonts w:ascii="Times New Roman" w:hAnsi="Times New Roman"/>
          <w:sz w:val="24"/>
          <w:szCs w:val="24"/>
          <w:lang w:val="es-ES"/>
        </w:rPr>
        <w:t xml:space="preserve">Testosteron se općenito može primjenjivati oralno, transdermalno ili parenteralno, a dostupan je i kao bukalni preparat te u obliku implantata. Budući da se testosteron cipionat i enantat za intramuskularnu primjenu često primaju svaka 2 do 4 tjedna, </w:t>
      </w:r>
      <w:r w:rsidR="007308C5" w:rsidRPr="00E663F4">
        <w:rPr>
          <w:rFonts w:ascii="Times New Roman" w:hAnsi="Times New Roman"/>
          <w:sz w:val="24"/>
          <w:szCs w:val="24"/>
          <w:lang w:val="es-ES"/>
        </w:rPr>
        <w:t>neke osobe</w:t>
      </w:r>
      <w:r w:rsidRPr="00E663F4">
        <w:rPr>
          <w:rFonts w:ascii="Times New Roman" w:hAnsi="Times New Roman"/>
          <w:sz w:val="24"/>
          <w:szCs w:val="24"/>
          <w:lang w:val="es-ES"/>
        </w:rPr>
        <w:t xml:space="preserve"> mogu primijetiti cikličke varijacije u učincima (primjerice, zamor i razdražljivost na kraju ciklusa primanja injekcija; agresivnost ili ekspanzivno ponašanje na početku ciklusa primanja injekcija), kao što je moguće da nešto duže budu izvan normalnih fizioloških razina (Jockenhövel, 2004; Nieschlag i sur., 2004). Ti se učinci mogu ublažiti češćom primjenom nižih doza ili svakodnevnom primjenom transdermalnih preparata (Dobs i sur., 1999; Jockenhövel, 2004; Nieschlag i sur., 2004). Testosteron undekanoat za intramuskularnu primjenu održava stabilnu fiziološku razinu testosterona u razdoblju od otprilike 12 tjedana, a pokazao se učinkovitim i u </w:t>
      </w:r>
      <w:r w:rsidRPr="00E663F4">
        <w:rPr>
          <w:rFonts w:ascii="Times New Roman" w:hAnsi="Times New Roman"/>
          <w:sz w:val="24"/>
          <w:szCs w:val="24"/>
          <w:lang w:val="es-ES"/>
        </w:rPr>
        <w:lastRenderedPageBreak/>
        <w:t xml:space="preserve">slučaju hipogonadizma te kod FtM osoba (Mueller, Kiesewetter, Binder, Beckmann i Dittrich, 2007). Neki dokazi idu u prilog tome da transdermalna i intramuskularna primjena testosterona postižu slične rezultate u maskulinizaciji, premda se rezultati s transdermalnim preparatima postižu nešto </w:t>
      </w:r>
      <w:r w:rsidR="006C450E" w:rsidRPr="00E663F4">
        <w:rPr>
          <w:rFonts w:ascii="Times New Roman" w:hAnsi="Times New Roman"/>
          <w:sz w:val="24"/>
          <w:szCs w:val="24"/>
          <w:lang w:val="es-ES"/>
        </w:rPr>
        <w:t>sporije</w:t>
      </w:r>
      <w:r w:rsidRPr="00E663F4">
        <w:rPr>
          <w:rFonts w:ascii="Times New Roman" w:hAnsi="Times New Roman"/>
          <w:sz w:val="24"/>
          <w:szCs w:val="24"/>
          <w:lang w:val="es-ES"/>
        </w:rPr>
        <w:t>. Cilj je, posebice u kontekstu starenja</w:t>
      </w:r>
      <w:r w:rsidR="00BF5979" w:rsidRPr="00E663F4">
        <w:rPr>
          <w:rFonts w:ascii="Times New Roman" w:hAnsi="Times New Roman"/>
          <w:sz w:val="24"/>
          <w:szCs w:val="24"/>
          <w:lang w:val="es-ES"/>
        </w:rPr>
        <w:t xml:space="preserve"> osobe</w:t>
      </w:r>
      <w:r w:rsidRPr="00E663F4">
        <w:rPr>
          <w:rFonts w:ascii="Times New Roman" w:hAnsi="Times New Roman"/>
          <w:sz w:val="24"/>
          <w:szCs w:val="24"/>
          <w:lang w:val="es-ES"/>
        </w:rPr>
        <w:t>, koristiti najnižu moguću dozu za održavanje željenih kliničkih rezultata, uz poduzimanje potrebnih mjera opreza za održavanje gustoće koštane mase.</w:t>
      </w:r>
    </w:p>
    <w:p w:rsidR="000A0DEC" w:rsidRPr="00E663F4" w:rsidRDefault="000A0DEC" w:rsidP="00E663F4">
      <w:pPr>
        <w:spacing w:line="360" w:lineRule="auto"/>
        <w:jc w:val="both"/>
        <w:rPr>
          <w:rFonts w:ascii="Times New Roman" w:hAnsi="Times New Roman"/>
          <w:sz w:val="24"/>
          <w:szCs w:val="24"/>
          <w:lang w:val="es-ES"/>
        </w:rPr>
      </w:pPr>
      <w:r w:rsidRPr="00E663F4">
        <w:rPr>
          <w:rFonts w:ascii="Times New Roman" w:hAnsi="Times New Roman"/>
          <w:sz w:val="24"/>
          <w:szCs w:val="24"/>
          <w:lang w:val="es-ES"/>
        </w:rPr>
        <w:t xml:space="preserve">Dostupnost navedenih tvari se u Republici Hrvatskoj može s vremenom mijenjati. </w:t>
      </w:r>
    </w:p>
    <w:p w:rsidR="000A0DEC" w:rsidRPr="00E663F4" w:rsidRDefault="000A0DEC" w:rsidP="000A0DEC">
      <w:pPr>
        <w:pStyle w:val="Naslov4"/>
        <w:rPr>
          <w:rFonts w:ascii="Times New Roman" w:hAnsi="Times New Roman"/>
          <w:sz w:val="24"/>
          <w:szCs w:val="24"/>
          <w:lang w:val="es-ES"/>
        </w:rPr>
      </w:pPr>
      <w:r w:rsidRPr="00E663F4">
        <w:rPr>
          <w:rFonts w:ascii="Times New Roman" w:hAnsi="Times New Roman"/>
          <w:sz w:val="24"/>
          <w:szCs w:val="24"/>
          <w:lang w:val="es-ES"/>
        </w:rPr>
        <w:t>Ostali agensi</w:t>
      </w:r>
    </w:p>
    <w:p w:rsidR="000A0DEC" w:rsidRPr="00E663F4" w:rsidRDefault="000A0DEC" w:rsidP="00E663F4">
      <w:pPr>
        <w:spacing w:line="360" w:lineRule="auto"/>
        <w:jc w:val="both"/>
        <w:rPr>
          <w:rFonts w:ascii="Times New Roman" w:hAnsi="Times New Roman"/>
          <w:sz w:val="24"/>
          <w:szCs w:val="24"/>
          <w:lang w:val="es-ES"/>
        </w:rPr>
      </w:pPr>
      <w:r w:rsidRPr="00E663F4">
        <w:rPr>
          <w:rFonts w:ascii="Times New Roman" w:hAnsi="Times New Roman"/>
          <w:sz w:val="24"/>
          <w:szCs w:val="24"/>
          <w:lang w:val="es-ES"/>
        </w:rPr>
        <w:t xml:space="preserve">Progestini, a najčešće medroksiprogesteron, mogu se primjenjivati tijekom nekoga kraćega razdoblja kako bi pospješili zaustavljanje menstruacije u ranoj fazi hormonske terapije. GnRH agonisti mogu se koristiti na sličan način, ali i u slučajevima refraktornoga krvarenja iz maternice kod </w:t>
      </w:r>
      <w:r w:rsidR="00BF5979" w:rsidRPr="00E663F4">
        <w:rPr>
          <w:rFonts w:ascii="Times New Roman" w:hAnsi="Times New Roman"/>
          <w:sz w:val="24"/>
          <w:szCs w:val="24"/>
          <w:lang w:val="es-ES"/>
        </w:rPr>
        <w:t>osoba</w:t>
      </w:r>
      <w:r w:rsidRPr="00E663F4">
        <w:rPr>
          <w:rFonts w:ascii="Times New Roman" w:hAnsi="Times New Roman"/>
          <w:sz w:val="24"/>
          <w:szCs w:val="24"/>
          <w:lang w:val="es-ES"/>
        </w:rPr>
        <w:t xml:space="preserve"> s ginekološkim abnormalnostima.</w:t>
      </w:r>
    </w:p>
    <w:p w:rsidR="00D95298" w:rsidRPr="00E663F4" w:rsidRDefault="00D95298" w:rsidP="00070DA7">
      <w:pPr>
        <w:rPr>
          <w:rFonts w:ascii="Times New Roman" w:hAnsi="Times New Roman"/>
          <w:sz w:val="24"/>
          <w:szCs w:val="24"/>
        </w:rPr>
      </w:pPr>
    </w:p>
    <w:p w:rsidR="00D95298" w:rsidRPr="00E663F4" w:rsidRDefault="00D95298" w:rsidP="00BF5979">
      <w:pPr>
        <w:pStyle w:val="Naslov3"/>
        <w:rPr>
          <w:rFonts w:ascii="Times New Roman" w:hAnsi="Times New Roman"/>
          <w:sz w:val="24"/>
          <w:szCs w:val="24"/>
        </w:rPr>
      </w:pPr>
      <w:bookmarkStart w:id="65" w:name="_Toc431396787"/>
      <w:bookmarkStart w:id="66" w:name="_Toc431396910"/>
      <w:bookmarkStart w:id="67" w:name="_Toc429254724"/>
      <w:r w:rsidRPr="00E663F4">
        <w:rPr>
          <w:rFonts w:ascii="Times New Roman" w:hAnsi="Times New Roman"/>
          <w:sz w:val="24"/>
          <w:szCs w:val="24"/>
        </w:rPr>
        <w:t>Hormonska terapija u adolescenata s rodnom disforijom</w:t>
      </w:r>
      <w:bookmarkEnd w:id="65"/>
      <w:bookmarkEnd w:id="66"/>
      <w:r w:rsidRPr="00E663F4">
        <w:rPr>
          <w:rFonts w:ascii="Times New Roman" w:hAnsi="Times New Roman"/>
          <w:sz w:val="24"/>
          <w:szCs w:val="24"/>
        </w:rPr>
        <w:t xml:space="preserve"> </w:t>
      </w:r>
      <w:bookmarkEnd w:id="67"/>
    </w:p>
    <w:p w:rsidR="00D95298" w:rsidRPr="00E663F4" w:rsidRDefault="00D95298" w:rsidP="00070DA7">
      <w:pPr>
        <w:rPr>
          <w:rFonts w:ascii="Times New Roman" w:hAnsi="Times New Roman"/>
          <w:sz w:val="24"/>
          <w:szCs w:val="24"/>
        </w:rPr>
      </w:pPr>
      <w:r w:rsidRPr="00E663F4">
        <w:rPr>
          <w:rFonts w:ascii="Times New Roman" w:hAnsi="Times New Roman"/>
          <w:sz w:val="24"/>
          <w:szCs w:val="24"/>
        </w:rPr>
        <w:t>Liječenje započinje supresijom puberteta s GnRH analozima u adolescenata pod uvjetom da:</w:t>
      </w:r>
    </w:p>
    <w:p w:rsidR="00D95298" w:rsidRPr="00E663F4" w:rsidRDefault="00D95298" w:rsidP="00070DA7">
      <w:pPr>
        <w:spacing w:line="240" w:lineRule="auto"/>
        <w:rPr>
          <w:rFonts w:ascii="Times New Roman" w:hAnsi="Times New Roman"/>
          <w:sz w:val="24"/>
          <w:szCs w:val="24"/>
        </w:rPr>
      </w:pPr>
      <w:r w:rsidRPr="00E663F4">
        <w:rPr>
          <w:rFonts w:ascii="Times New Roman" w:hAnsi="Times New Roman"/>
          <w:sz w:val="24"/>
          <w:szCs w:val="24"/>
        </w:rPr>
        <w:t>1. Ispunjavaju kriterije za dijagnozu PRI i stariji su od 16 godina</w:t>
      </w:r>
    </w:p>
    <w:p w:rsidR="00D95298" w:rsidRPr="00E663F4" w:rsidRDefault="00D95298" w:rsidP="00070DA7">
      <w:pPr>
        <w:spacing w:line="240" w:lineRule="auto"/>
        <w:rPr>
          <w:rFonts w:ascii="Times New Roman" w:hAnsi="Times New Roman"/>
          <w:sz w:val="24"/>
          <w:szCs w:val="24"/>
        </w:rPr>
      </w:pPr>
      <w:r w:rsidRPr="00E663F4">
        <w:rPr>
          <w:rFonts w:ascii="Times New Roman" w:hAnsi="Times New Roman"/>
          <w:sz w:val="24"/>
          <w:szCs w:val="24"/>
        </w:rPr>
        <w:t>2. Ušli su u pubertet (najmanje 2.stupanj premaTanner-u )</w:t>
      </w:r>
    </w:p>
    <w:p w:rsidR="00D95298" w:rsidRPr="00E663F4" w:rsidRDefault="00D95298" w:rsidP="00070DA7">
      <w:pPr>
        <w:spacing w:line="240" w:lineRule="auto"/>
        <w:rPr>
          <w:rFonts w:ascii="Times New Roman" w:hAnsi="Times New Roman"/>
          <w:sz w:val="24"/>
          <w:szCs w:val="24"/>
        </w:rPr>
      </w:pPr>
      <w:r w:rsidRPr="00E663F4">
        <w:rPr>
          <w:rFonts w:ascii="Times New Roman" w:hAnsi="Times New Roman"/>
          <w:sz w:val="24"/>
          <w:szCs w:val="24"/>
        </w:rPr>
        <w:t>3. Nema psihijatrijskog komorbiditeta koji bi interferirao s dijagnostičkim  i/terapijskim postupcima</w:t>
      </w:r>
    </w:p>
    <w:p w:rsidR="00D95298" w:rsidRPr="00E663F4" w:rsidRDefault="00D95298" w:rsidP="00070DA7">
      <w:pPr>
        <w:rPr>
          <w:rFonts w:ascii="Times New Roman" w:hAnsi="Times New Roman"/>
          <w:sz w:val="24"/>
          <w:szCs w:val="24"/>
        </w:rPr>
      </w:pPr>
      <w:r w:rsidRPr="00E663F4">
        <w:rPr>
          <w:rFonts w:ascii="Times New Roman" w:hAnsi="Times New Roman"/>
          <w:sz w:val="24"/>
          <w:szCs w:val="24"/>
        </w:rPr>
        <w:t>4. Osigurana im je  psihološka i socijalna podrška</w:t>
      </w:r>
    </w:p>
    <w:p w:rsidR="00D95298" w:rsidRPr="00E663F4" w:rsidRDefault="00D95298" w:rsidP="00070DA7">
      <w:pPr>
        <w:rPr>
          <w:rFonts w:ascii="Times New Roman" w:hAnsi="Times New Roman"/>
          <w:sz w:val="24"/>
          <w:szCs w:val="24"/>
        </w:rPr>
      </w:pPr>
      <w:r w:rsidRPr="00E663F4">
        <w:rPr>
          <w:rFonts w:ascii="Times New Roman" w:hAnsi="Times New Roman"/>
          <w:sz w:val="24"/>
          <w:szCs w:val="24"/>
        </w:rPr>
        <w:t>5. Upoznati su s očekivanim ishodom i rizicima liječenja.</w:t>
      </w:r>
    </w:p>
    <w:p w:rsidR="00D95298" w:rsidRPr="00E663F4" w:rsidRDefault="00D95298" w:rsidP="00070DA7">
      <w:pPr>
        <w:rPr>
          <w:rFonts w:ascii="Times New Roman" w:hAnsi="Times New Roman"/>
          <w:sz w:val="24"/>
          <w:szCs w:val="24"/>
        </w:rPr>
      </w:pPr>
      <w:r w:rsidRPr="00E663F4">
        <w:rPr>
          <w:rFonts w:ascii="Times New Roman" w:hAnsi="Times New Roman"/>
          <w:sz w:val="24"/>
          <w:szCs w:val="24"/>
        </w:rPr>
        <w:t xml:space="preserve"> </w:t>
      </w:r>
    </w:p>
    <w:p w:rsidR="00D95298" w:rsidRPr="00E663F4" w:rsidRDefault="00D95298" w:rsidP="00BF5979">
      <w:pPr>
        <w:pStyle w:val="Naslov4"/>
        <w:rPr>
          <w:rFonts w:ascii="Times New Roman" w:hAnsi="Times New Roman"/>
          <w:sz w:val="24"/>
          <w:szCs w:val="24"/>
        </w:rPr>
      </w:pPr>
      <w:r w:rsidRPr="00E663F4">
        <w:rPr>
          <w:rFonts w:ascii="Times New Roman" w:hAnsi="Times New Roman"/>
          <w:sz w:val="24"/>
          <w:szCs w:val="24"/>
        </w:rPr>
        <w:t>Protokol praćenja u vrijeme supresije puberteta s GnRH analozima</w:t>
      </w:r>
    </w:p>
    <w:p w:rsidR="00D95298" w:rsidRPr="00E663F4" w:rsidRDefault="00D95298" w:rsidP="00070DA7">
      <w:pPr>
        <w:rPr>
          <w:rFonts w:ascii="Times New Roman" w:hAnsi="Times New Roman"/>
          <w:sz w:val="24"/>
          <w:szCs w:val="24"/>
        </w:rPr>
      </w:pPr>
      <w:r w:rsidRPr="00E663F4">
        <w:rPr>
          <w:rFonts w:ascii="Times New Roman" w:hAnsi="Times New Roman"/>
          <w:sz w:val="24"/>
          <w:szCs w:val="24"/>
        </w:rPr>
        <w:t>Svaka 3 mjeseca - antropometrijska mjerenja, laboratorijske analize: FSH,LH,estradiol/testosteron</w:t>
      </w:r>
    </w:p>
    <w:p w:rsidR="00D95298" w:rsidRPr="00E663F4" w:rsidRDefault="00D95298" w:rsidP="00070DA7">
      <w:pPr>
        <w:rPr>
          <w:rFonts w:ascii="Times New Roman" w:hAnsi="Times New Roman"/>
          <w:sz w:val="24"/>
          <w:szCs w:val="24"/>
        </w:rPr>
      </w:pPr>
      <w:r w:rsidRPr="00E663F4">
        <w:rPr>
          <w:rFonts w:ascii="Times New Roman" w:hAnsi="Times New Roman"/>
          <w:sz w:val="24"/>
          <w:szCs w:val="24"/>
        </w:rPr>
        <w:t>Jednom godišnje - renalna i bubrežna funkcija, lipidogram, glukoza, HbAlc, denzitometrija, koštana zrelost -rtg lijeve šake</w:t>
      </w:r>
    </w:p>
    <w:p w:rsidR="00D95298" w:rsidRPr="00E663F4" w:rsidRDefault="00D95298" w:rsidP="00070DA7">
      <w:pPr>
        <w:rPr>
          <w:rFonts w:ascii="Times New Roman" w:hAnsi="Times New Roman"/>
          <w:sz w:val="24"/>
          <w:szCs w:val="24"/>
        </w:rPr>
      </w:pPr>
    </w:p>
    <w:p w:rsidR="00D95298" w:rsidRPr="00E663F4" w:rsidRDefault="00D95298" w:rsidP="00BF5979">
      <w:pPr>
        <w:pStyle w:val="Naslov4"/>
        <w:rPr>
          <w:rFonts w:ascii="Times New Roman" w:hAnsi="Times New Roman"/>
          <w:sz w:val="24"/>
          <w:szCs w:val="24"/>
        </w:rPr>
      </w:pPr>
      <w:r w:rsidRPr="00E663F4">
        <w:rPr>
          <w:rFonts w:ascii="Times New Roman" w:hAnsi="Times New Roman"/>
          <w:sz w:val="24"/>
          <w:szCs w:val="24"/>
        </w:rPr>
        <w:t>Protokol  indukcije puberteta</w:t>
      </w:r>
    </w:p>
    <w:p w:rsidR="00D95298" w:rsidRPr="00E663F4" w:rsidRDefault="00D95298" w:rsidP="00070DA7">
      <w:pPr>
        <w:rPr>
          <w:rFonts w:ascii="Times New Roman" w:hAnsi="Times New Roman"/>
          <w:sz w:val="24"/>
          <w:szCs w:val="24"/>
        </w:rPr>
      </w:pPr>
      <w:r w:rsidRPr="00E663F4">
        <w:rPr>
          <w:rFonts w:ascii="Times New Roman" w:hAnsi="Times New Roman"/>
          <w:sz w:val="24"/>
          <w:szCs w:val="24"/>
        </w:rPr>
        <w:t>Indukcija ženskog puberteta s tabletama 17-beta estradiola, doza se povećava svakih 6 mjeseci (5ug/kg/dan, 10ug/kg/dan, 15ug/kg/dan, 20ug/kg/dan)</w:t>
      </w:r>
    </w:p>
    <w:p w:rsidR="00D95298" w:rsidRPr="00E663F4" w:rsidRDefault="00D95298" w:rsidP="00070DA7">
      <w:pPr>
        <w:rPr>
          <w:rFonts w:ascii="Times New Roman" w:hAnsi="Times New Roman"/>
          <w:sz w:val="24"/>
          <w:szCs w:val="24"/>
        </w:rPr>
      </w:pPr>
      <w:r w:rsidRPr="00E663F4">
        <w:rPr>
          <w:rFonts w:ascii="Times New Roman" w:hAnsi="Times New Roman"/>
          <w:sz w:val="24"/>
          <w:szCs w:val="24"/>
        </w:rPr>
        <w:lastRenderedPageBreak/>
        <w:t>Adultna doza 2mg/dan</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Indukcija muškog puberteta i.m. injekcijama testosteronskih estera, povećava se doza svakih 6 mjeseci (25mg/m</w:t>
      </w:r>
      <w:r w:rsidRPr="00E663F4">
        <w:rPr>
          <w:rFonts w:ascii="Times New Roman" w:hAnsi="Times New Roman"/>
          <w:sz w:val="24"/>
          <w:szCs w:val="24"/>
          <w:vertAlign w:val="superscript"/>
        </w:rPr>
        <w:t>2</w:t>
      </w:r>
      <w:r w:rsidRPr="00E663F4">
        <w:rPr>
          <w:rFonts w:ascii="Times New Roman" w:hAnsi="Times New Roman"/>
          <w:sz w:val="24"/>
          <w:szCs w:val="24"/>
        </w:rPr>
        <w:t xml:space="preserve"> svaka 2 tjedna, 50mg/m</w:t>
      </w:r>
      <w:r w:rsidRPr="00E663F4">
        <w:rPr>
          <w:rFonts w:ascii="Times New Roman" w:hAnsi="Times New Roman"/>
          <w:sz w:val="24"/>
          <w:szCs w:val="24"/>
          <w:vertAlign w:val="superscript"/>
        </w:rPr>
        <w:t>2</w:t>
      </w:r>
      <w:r w:rsidRPr="00E663F4">
        <w:rPr>
          <w:rFonts w:ascii="Times New Roman" w:hAnsi="Times New Roman"/>
          <w:sz w:val="24"/>
          <w:szCs w:val="24"/>
        </w:rPr>
        <w:t xml:space="preserve"> svaka 2 tjedna, 75mg/m</w:t>
      </w:r>
      <w:r w:rsidRPr="00E663F4">
        <w:rPr>
          <w:rFonts w:ascii="Times New Roman" w:hAnsi="Times New Roman"/>
          <w:sz w:val="24"/>
          <w:szCs w:val="24"/>
          <w:vertAlign w:val="superscript"/>
        </w:rPr>
        <w:t>2</w:t>
      </w:r>
      <w:r w:rsidRPr="00E663F4">
        <w:rPr>
          <w:rFonts w:ascii="Times New Roman" w:hAnsi="Times New Roman"/>
          <w:sz w:val="24"/>
          <w:szCs w:val="24"/>
        </w:rPr>
        <w:t xml:space="preserve"> svaka 2 tjedna, 100 mg/m</w:t>
      </w:r>
      <w:r w:rsidRPr="00E663F4">
        <w:rPr>
          <w:rFonts w:ascii="Times New Roman" w:hAnsi="Times New Roman"/>
          <w:sz w:val="24"/>
          <w:szCs w:val="24"/>
          <w:vertAlign w:val="superscript"/>
        </w:rPr>
        <w:t>2</w:t>
      </w:r>
      <w:r w:rsidRPr="00E663F4">
        <w:rPr>
          <w:rFonts w:ascii="Times New Roman" w:hAnsi="Times New Roman"/>
          <w:sz w:val="24"/>
          <w:szCs w:val="24"/>
        </w:rPr>
        <w:t xml:space="preserve"> svaka 2 tjedna)</w:t>
      </w:r>
    </w:p>
    <w:p w:rsidR="00D95298" w:rsidRPr="00E663F4" w:rsidRDefault="00D95298" w:rsidP="00070DA7">
      <w:pPr>
        <w:rPr>
          <w:rFonts w:ascii="Times New Roman" w:hAnsi="Times New Roman"/>
          <w:sz w:val="24"/>
          <w:szCs w:val="24"/>
          <w:u w:val="single"/>
        </w:rPr>
      </w:pPr>
    </w:p>
    <w:p w:rsidR="00D95298" w:rsidRPr="00E663F4" w:rsidRDefault="00D95298" w:rsidP="00BF5979">
      <w:pPr>
        <w:pStyle w:val="Naslov4"/>
        <w:rPr>
          <w:rFonts w:ascii="Times New Roman" w:hAnsi="Times New Roman"/>
          <w:sz w:val="24"/>
          <w:szCs w:val="24"/>
        </w:rPr>
      </w:pPr>
      <w:r w:rsidRPr="00E663F4">
        <w:rPr>
          <w:rFonts w:ascii="Times New Roman" w:hAnsi="Times New Roman"/>
          <w:sz w:val="24"/>
          <w:szCs w:val="24"/>
        </w:rPr>
        <w:t>Protokol praćenja u vrijeme indukcije puberteta</w:t>
      </w:r>
    </w:p>
    <w:p w:rsidR="00D95298" w:rsidRPr="00E663F4" w:rsidRDefault="00D95298" w:rsidP="00070DA7">
      <w:pPr>
        <w:rPr>
          <w:rFonts w:ascii="Times New Roman" w:hAnsi="Times New Roman"/>
          <w:sz w:val="24"/>
          <w:szCs w:val="24"/>
        </w:rPr>
      </w:pPr>
      <w:r w:rsidRPr="00E663F4">
        <w:rPr>
          <w:rFonts w:ascii="Times New Roman" w:hAnsi="Times New Roman"/>
          <w:sz w:val="24"/>
          <w:szCs w:val="24"/>
        </w:rPr>
        <w:t>Svaka 3 mjeseca - antropometrijska mjerenja, laboratorijske analize: FSH, LH, estradiol/testosteron</w:t>
      </w:r>
    </w:p>
    <w:p w:rsidR="00D95298" w:rsidRPr="00E663F4" w:rsidRDefault="00D95298" w:rsidP="00E663F4">
      <w:pPr>
        <w:jc w:val="both"/>
        <w:rPr>
          <w:rFonts w:ascii="Times New Roman" w:hAnsi="Times New Roman"/>
          <w:sz w:val="24"/>
          <w:szCs w:val="24"/>
        </w:rPr>
      </w:pPr>
      <w:r w:rsidRPr="00E663F4">
        <w:rPr>
          <w:rFonts w:ascii="Times New Roman" w:hAnsi="Times New Roman"/>
          <w:sz w:val="24"/>
          <w:szCs w:val="24"/>
        </w:rPr>
        <w:t>Jednom godišnje - renalna i bubrežna funkcija, lipidogram, glukoza, HbA1c, denzitometrija, koštana zrelost-rtg lijeve šake</w:t>
      </w:r>
    </w:p>
    <w:p w:rsidR="00D95298" w:rsidRPr="00E663F4" w:rsidRDefault="00D95298" w:rsidP="00070DA7">
      <w:pPr>
        <w:rPr>
          <w:rFonts w:ascii="Times New Roman" w:hAnsi="Times New Roman"/>
          <w:sz w:val="24"/>
          <w:szCs w:val="24"/>
        </w:rPr>
      </w:pPr>
    </w:p>
    <w:p w:rsidR="00D95298" w:rsidRPr="00E663F4" w:rsidRDefault="00D95298" w:rsidP="00070DA7">
      <w:pPr>
        <w:rPr>
          <w:rFonts w:ascii="Times New Roman" w:hAnsi="Times New Roman"/>
          <w:sz w:val="24"/>
          <w:szCs w:val="24"/>
        </w:rPr>
      </w:pPr>
      <w:r w:rsidRPr="00E663F4">
        <w:rPr>
          <w:rFonts w:ascii="Times New Roman" w:hAnsi="Times New Roman"/>
          <w:sz w:val="24"/>
          <w:szCs w:val="24"/>
        </w:rPr>
        <w:t>Preporuča se provođenje terapije s GnRH analozima se sve dok se ne učini gonadektomija.</w:t>
      </w:r>
    </w:p>
    <w:p w:rsidR="00D95298" w:rsidRPr="00E663F4" w:rsidRDefault="00D95298" w:rsidP="00650A48">
      <w:pPr>
        <w:pStyle w:val="Naslov2"/>
        <w:rPr>
          <w:rFonts w:ascii="Times New Roman" w:hAnsi="Times New Roman"/>
          <w:sz w:val="24"/>
          <w:szCs w:val="24"/>
        </w:rPr>
      </w:pPr>
    </w:p>
    <w:p w:rsidR="00D95298" w:rsidRPr="00E663F4" w:rsidRDefault="00D95298" w:rsidP="00650A48">
      <w:pPr>
        <w:pStyle w:val="Naslov2"/>
        <w:rPr>
          <w:rFonts w:ascii="Times New Roman" w:hAnsi="Times New Roman"/>
          <w:sz w:val="24"/>
          <w:szCs w:val="24"/>
          <w:lang w:eastAsia="hr-HR"/>
        </w:rPr>
      </w:pPr>
      <w:bookmarkStart w:id="68" w:name="_Toc431396788"/>
      <w:bookmarkStart w:id="69" w:name="_Toc431396911"/>
      <w:r w:rsidRPr="00E663F4">
        <w:rPr>
          <w:rFonts w:ascii="Times New Roman" w:hAnsi="Times New Roman"/>
          <w:sz w:val="24"/>
          <w:szCs w:val="24"/>
          <w:lang w:eastAsia="hr-HR"/>
        </w:rPr>
        <w:t>Reproduktivno zdravlje transpolnih, transrodnih i rodno nenormativnih osoba</w:t>
      </w:r>
      <w:bookmarkEnd w:id="68"/>
      <w:bookmarkEnd w:id="69"/>
    </w:p>
    <w:p w:rsidR="00D95298" w:rsidRPr="00E663F4" w:rsidRDefault="00D95298">
      <w:pPr>
        <w:spacing w:after="0"/>
        <w:rPr>
          <w:rFonts w:ascii="Times New Roman" w:hAnsi="Times New Roman"/>
          <w:sz w:val="24"/>
          <w:szCs w:val="24"/>
          <w:lang w:eastAsia="hr-HR"/>
        </w:rPr>
      </w:pPr>
    </w:p>
    <w:p w:rsidR="00D95298" w:rsidRPr="00E663F4" w:rsidRDefault="00D95298" w:rsidP="00E663F4">
      <w:pPr>
        <w:spacing w:after="0"/>
        <w:jc w:val="both"/>
        <w:rPr>
          <w:rFonts w:ascii="Times New Roman" w:hAnsi="Times New Roman"/>
          <w:sz w:val="24"/>
          <w:szCs w:val="24"/>
          <w:lang w:eastAsia="hr-HR"/>
        </w:rPr>
      </w:pPr>
      <w:r w:rsidRPr="00E663F4">
        <w:rPr>
          <w:rFonts w:ascii="Times New Roman" w:hAnsi="Times New Roman"/>
          <w:sz w:val="24"/>
          <w:szCs w:val="24"/>
          <w:lang w:eastAsia="hr-HR"/>
        </w:rPr>
        <w:t>Transpolnim, transrodnim i rodno nenormativnim osobama opcije za ostvarivanje reprodukcije ne smiju biti zanijekane (Coleman i sur., 2012).</w:t>
      </w:r>
    </w:p>
    <w:p w:rsidR="00D95298" w:rsidRPr="00E663F4" w:rsidRDefault="00D95298" w:rsidP="00E663F4">
      <w:pPr>
        <w:spacing w:after="0"/>
        <w:jc w:val="both"/>
        <w:rPr>
          <w:rFonts w:ascii="Times New Roman" w:hAnsi="Times New Roman"/>
          <w:sz w:val="24"/>
          <w:szCs w:val="24"/>
          <w:lang w:eastAsia="hr-HR"/>
        </w:rPr>
      </w:pPr>
      <w:r w:rsidRPr="00E663F4">
        <w:rPr>
          <w:rFonts w:ascii="Times New Roman" w:hAnsi="Times New Roman"/>
          <w:sz w:val="24"/>
          <w:szCs w:val="24"/>
          <w:lang w:eastAsia="hr-HR"/>
        </w:rPr>
        <w:t>Hrvatski Zakon o medicinski pomognutoj oplodnji (NN 86/12) u čl. 34. kaže: „Pohranjivanje spolnih stanica dozvoljava se muškarcima i ženama (ali i maloljetnim osobama) kojima prema spoznajama medicinske znanosti prijeti da će postati neplodni.“</w:t>
      </w:r>
    </w:p>
    <w:p w:rsidR="00D95298" w:rsidRPr="00E663F4" w:rsidRDefault="00D95298" w:rsidP="00E663F4">
      <w:pPr>
        <w:spacing w:after="0"/>
        <w:jc w:val="both"/>
        <w:rPr>
          <w:rFonts w:ascii="Times New Roman" w:hAnsi="Times New Roman"/>
          <w:sz w:val="24"/>
          <w:szCs w:val="24"/>
          <w:lang w:eastAsia="hr-HR"/>
        </w:rPr>
      </w:pPr>
      <w:r w:rsidRPr="00E663F4">
        <w:rPr>
          <w:rFonts w:ascii="Times New Roman" w:hAnsi="Times New Roman"/>
          <w:sz w:val="24"/>
          <w:szCs w:val="24"/>
          <w:lang w:eastAsia="hr-HR"/>
        </w:rPr>
        <w:t>Stoga svim transpolnim, transrodnim i rodno nenormativnim osobama koje će ući u proces endokrinološke i kirurške tranzicije valja prethodno ponuditi mogućnost da pohrane svoju spermu, jajne stanice ili embrije prema Zakonu o MPO.</w:t>
      </w:r>
    </w:p>
    <w:p w:rsidR="00D95298" w:rsidRPr="00E663F4" w:rsidRDefault="00D95298" w:rsidP="00650A48">
      <w:pPr>
        <w:pStyle w:val="Naslov3"/>
        <w:rPr>
          <w:rFonts w:ascii="Times New Roman" w:hAnsi="Times New Roman"/>
          <w:sz w:val="24"/>
          <w:szCs w:val="24"/>
          <w:lang w:eastAsia="hr-HR"/>
        </w:rPr>
      </w:pPr>
      <w:bookmarkStart w:id="70" w:name="_Toc431396789"/>
      <w:bookmarkStart w:id="71" w:name="_Toc431396912"/>
      <w:r w:rsidRPr="00E663F4">
        <w:rPr>
          <w:rFonts w:ascii="Times New Roman" w:hAnsi="Times New Roman"/>
          <w:sz w:val="24"/>
          <w:szCs w:val="24"/>
          <w:lang w:eastAsia="hr-HR"/>
        </w:rPr>
        <w:t>Ginekološka skrb</w:t>
      </w:r>
      <w:bookmarkEnd w:id="70"/>
      <w:bookmarkEnd w:id="71"/>
    </w:p>
    <w:p w:rsidR="00D95298" w:rsidRPr="00E663F4" w:rsidRDefault="00D95298">
      <w:pPr>
        <w:spacing w:after="0"/>
        <w:rPr>
          <w:rFonts w:ascii="Times New Roman" w:hAnsi="Times New Roman"/>
          <w:sz w:val="24"/>
          <w:szCs w:val="24"/>
          <w:lang w:eastAsia="hr-HR"/>
        </w:rPr>
      </w:pPr>
    </w:p>
    <w:p w:rsidR="00D95298" w:rsidRPr="00E663F4" w:rsidRDefault="00D95298" w:rsidP="00650A48">
      <w:pPr>
        <w:pStyle w:val="Naslov4"/>
        <w:rPr>
          <w:rFonts w:ascii="Times New Roman" w:hAnsi="Times New Roman"/>
          <w:sz w:val="24"/>
          <w:szCs w:val="24"/>
          <w:lang w:eastAsia="hr-HR"/>
        </w:rPr>
      </w:pPr>
      <w:bookmarkStart w:id="72" w:name="_Toc431396790"/>
      <w:r w:rsidRPr="00E663F4">
        <w:rPr>
          <w:rFonts w:ascii="Times New Roman" w:hAnsi="Times New Roman"/>
          <w:sz w:val="24"/>
          <w:szCs w:val="24"/>
          <w:lang w:eastAsia="hr-HR"/>
        </w:rPr>
        <w:t>FtM osobe u tranziciji spola</w:t>
      </w:r>
      <w:bookmarkEnd w:id="72"/>
    </w:p>
    <w:p w:rsidR="00D95298" w:rsidRPr="00E663F4" w:rsidRDefault="00D95298">
      <w:pPr>
        <w:spacing w:after="0"/>
        <w:rPr>
          <w:rFonts w:ascii="Times New Roman" w:hAnsi="Times New Roman"/>
          <w:sz w:val="24"/>
          <w:szCs w:val="24"/>
          <w:u w:val="single"/>
          <w:lang w:eastAsia="hr-HR"/>
        </w:rPr>
      </w:pPr>
    </w:p>
    <w:p w:rsidR="00D95298" w:rsidRPr="00E663F4" w:rsidRDefault="00D95298">
      <w:pPr>
        <w:spacing w:after="0"/>
        <w:rPr>
          <w:rFonts w:ascii="Times New Roman" w:hAnsi="Times New Roman"/>
          <w:sz w:val="24"/>
          <w:szCs w:val="24"/>
          <w:lang w:eastAsia="hr-HR"/>
        </w:rPr>
      </w:pPr>
      <w:r w:rsidRPr="00E663F4">
        <w:rPr>
          <w:rFonts w:ascii="Times New Roman" w:hAnsi="Times New Roman"/>
          <w:sz w:val="24"/>
          <w:szCs w:val="24"/>
          <w:lang w:eastAsia="hr-HR"/>
        </w:rPr>
        <w:t>Nužna  je redovita ginekološka skrb za sve FtM osobe u tranziciji spola prije rekonstruktivnog kirurškog zahvata. Posebno je važno osigurati pouzdanu kontracepciju neoperiranim osobama koje uzimaju testosteron zbog njegova utjecaja na plod (Coleman i sur., 2012). </w:t>
      </w:r>
    </w:p>
    <w:p w:rsidR="00D95298" w:rsidRPr="00E663F4" w:rsidRDefault="00D95298">
      <w:pPr>
        <w:spacing w:after="0"/>
        <w:rPr>
          <w:rFonts w:ascii="Times New Roman" w:hAnsi="Times New Roman"/>
          <w:sz w:val="24"/>
          <w:szCs w:val="24"/>
          <w:lang w:eastAsia="hr-HR"/>
        </w:rPr>
      </w:pPr>
      <w:r w:rsidRPr="00E663F4">
        <w:rPr>
          <w:rFonts w:ascii="Times New Roman" w:hAnsi="Times New Roman"/>
          <w:sz w:val="24"/>
          <w:szCs w:val="24"/>
          <w:lang w:eastAsia="hr-HR"/>
        </w:rPr>
        <w:t>Nakon operacije tip i sadržaj ginekološke skrbi se preporučuje prema opsegu kirurškog zahvata. Budući da se većina FtM osoba u tranziciji spola nikada ne podvrgne vaginektomiji, ginekološki se pregled osobama koje nisu vaginektomirane savjetuje najmanje jednom u 3 godine, bez obzira na to što su histerektomirane i ovariektomirane.</w:t>
      </w:r>
    </w:p>
    <w:p w:rsidR="00D95298" w:rsidRPr="00E663F4" w:rsidRDefault="00D95298">
      <w:pPr>
        <w:spacing w:after="0"/>
        <w:rPr>
          <w:rFonts w:ascii="Times New Roman" w:hAnsi="Times New Roman"/>
          <w:sz w:val="24"/>
          <w:szCs w:val="24"/>
          <w:lang w:eastAsia="hr-HR"/>
        </w:rPr>
      </w:pPr>
    </w:p>
    <w:p w:rsidR="00D95298" w:rsidRPr="00E663F4" w:rsidRDefault="00D95298" w:rsidP="00650A48">
      <w:pPr>
        <w:pStyle w:val="Naslov4"/>
        <w:rPr>
          <w:rFonts w:ascii="Times New Roman" w:hAnsi="Times New Roman"/>
          <w:sz w:val="24"/>
          <w:szCs w:val="24"/>
          <w:lang w:eastAsia="hr-HR"/>
        </w:rPr>
      </w:pPr>
      <w:bookmarkStart w:id="73" w:name="_Toc431396791"/>
      <w:r w:rsidRPr="00E663F4">
        <w:rPr>
          <w:rFonts w:ascii="Times New Roman" w:hAnsi="Times New Roman"/>
          <w:sz w:val="24"/>
          <w:szCs w:val="24"/>
          <w:lang w:eastAsia="hr-HR"/>
        </w:rPr>
        <w:t>MtF osobe u tranziciji spola</w:t>
      </w:r>
      <w:bookmarkEnd w:id="73"/>
    </w:p>
    <w:p w:rsidR="00D95298" w:rsidRPr="00E663F4" w:rsidRDefault="00D95298">
      <w:pPr>
        <w:spacing w:after="0"/>
        <w:rPr>
          <w:rFonts w:ascii="Times New Roman" w:hAnsi="Times New Roman"/>
          <w:sz w:val="24"/>
          <w:szCs w:val="24"/>
          <w:u w:val="single"/>
          <w:lang w:eastAsia="hr-HR"/>
        </w:rPr>
      </w:pPr>
    </w:p>
    <w:p w:rsidR="00D95298" w:rsidRPr="00E663F4" w:rsidRDefault="00D95298">
      <w:pPr>
        <w:spacing w:after="0"/>
        <w:rPr>
          <w:rFonts w:ascii="Times New Roman" w:hAnsi="Times New Roman"/>
          <w:sz w:val="24"/>
          <w:szCs w:val="24"/>
          <w:lang w:eastAsia="hr-HR"/>
        </w:rPr>
      </w:pPr>
      <w:r w:rsidRPr="00E663F4">
        <w:rPr>
          <w:rFonts w:ascii="Times New Roman" w:hAnsi="Times New Roman"/>
          <w:sz w:val="24"/>
          <w:szCs w:val="24"/>
          <w:lang w:eastAsia="hr-HR"/>
        </w:rPr>
        <w:lastRenderedPageBreak/>
        <w:t>MtF osobama ginekološki pregled prije operacije nije potreban osim u vezi sa savjetovanjem o pohrani sjemena ako to ne učini drugi liječnik.</w:t>
      </w:r>
    </w:p>
    <w:p w:rsidR="00D95298" w:rsidRPr="00E663F4" w:rsidRDefault="00D95298">
      <w:pPr>
        <w:spacing w:after="0"/>
        <w:rPr>
          <w:rFonts w:ascii="Times New Roman" w:hAnsi="Times New Roman"/>
          <w:sz w:val="24"/>
          <w:szCs w:val="24"/>
          <w:lang w:eastAsia="hr-HR"/>
        </w:rPr>
      </w:pPr>
      <w:r w:rsidRPr="00E663F4">
        <w:rPr>
          <w:rFonts w:ascii="Times New Roman" w:hAnsi="Times New Roman"/>
          <w:sz w:val="24"/>
          <w:szCs w:val="24"/>
          <w:lang w:eastAsia="hr-HR"/>
        </w:rPr>
        <w:t>Nakon operacije ginekološki je pregled potreban (i poželjan u smislu  potvrde pripadanja željenom spolu) barem 1-2 godine nakon operacije. Ginekolog/inja ne smije zanemariti nadzor prostate u takvih osoba, barem provjerom PSA ili urološkim pregledom (Grujić Koračin, 2013).</w:t>
      </w:r>
    </w:p>
    <w:p w:rsidR="00D95298" w:rsidRPr="00E663F4" w:rsidRDefault="00BF5979" w:rsidP="00337FB0">
      <w:pPr>
        <w:spacing w:after="120" w:line="240" w:lineRule="auto"/>
        <w:rPr>
          <w:rFonts w:ascii="Times New Roman" w:hAnsi="Times New Roman"/>
          <w:sz w:val="24"/>
          <w:szCs w:val="24"/>
          <w:lang w:eastAsia="hr-HR"/>
        </w:rPr>
      </w:pPr>
      <w:r w:rsidRPr="00E663F4">
        <w:rPr>
          <w:rFonts w:ascii="Times New Roman" w:hAnsi="Times New Roman"/>
          <w:sz w:val="24"/>
          <w:szCs w:val="24"/>
          <w:lang w:eastAsia="hr-HR"/>
        </w:rPr>
        <w:br w:type="page"/>
      </w:r>
    </w:p>
    <w:p w:rsidR="00D95298" w:rsidRPr="00E663F4" w:rsidRDefault="00BF5979" w:rsidP="00BF5979">
      <w:pPr>
        <w:pStyle w:val="Naslov1"/>
        <w:rPr>
          <w:rFonts w:ascii="Times New Roman" w:hAnsi="Times New Roman"/>
          <w:sz w:val="24"/>
          <w:szCs w:val="24"/>
        </w:rPr>
      </w:pPr>
      <w:bookmarkStart w:id="74" w:name="_Toc431396792"/>
      <w:bookmarkStart w:id="75" w:name="_Toc431396913"/>
      <w:r w:rsidRPr="00E663F4">
        <w:rPr>
          <w:rFonts w:ascii="Times New Roman" w:hAnsi="Times New Roman"/>
          <w:sz w:val="24"/>
          <w:szCs w:val="24"/>
        </w:rPr>
        <w:lastRenderedPageBreak/>
        <w:t>Literatura</w:t>
      </w:r>
      <w:bookmarkEnd w:id="74"/>
      <w:bookmarkEnd w:id="75"/>
    </w:p>
    <w:p w:rsidR="00BF5979" w:rsidRPr="00E663F4" w:rsidRDefault="00BF5979" w:rsidP="00BF5979">
      <w:pPr>
        <w:rPr>
          <w:rFonts w:ascii="Times New Roman" w:hAnsi="Times New Roman"/>
          <w:sz w:val="24"/>
          <w:szCs w:val="24"/>
        </w:rPr>
      </w:pP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Arcelus J, Bouman WP, Van Den Noortgate W, Claes L, Witcomb G, Fernandez-Aranda F. Systematic review and meta-analysis of prevalence studies in transsexualism. Eur Psychiatry. 2015;30(6):807-815. </w:t>
      </w:r>
    </w:p>
    <w:p w:rsidR="00352DE7" w:rsidRPr="00E663F4" w:rsidRDefault="00352DE7" w:rsidP="00352DE7">
      <w:pPr>
        <w:spacing w:line="240" w:lineRule="auto"/>
        <w:rPr>
          <w:rFonts w:ascii="Times New Roman" w:hAnsi="Times New Roman"/>
          <w:sz w:val="24"/>
          <w:szCs w:val="24"/>
        </w:rPr>
      </w:pPr>
      <w:r w:rsidRPr="00E663F4">
        <w:rPr>
          <w:rFonts w:ascii="Times New Roman" w:hAnsi="Times New Roman"/>
          <w:sz w:val="24"/>
          <w:szCs w:val="24"/>
        </w:rPr>
        <w:t xml:space="preserve">Baba T, Endo T, Honnma H, Kitajima Y, Hayashi T, Ikeda H, . . . Saito T. Association between polycystic ovary syndrome and female-to-male transsexuality. </w:t>
      </w:r>
      <w:r w:rsidRPr="00E663F4">
        <w:rPr>
          <w:rFonts w:ascii="Times New Roman" w:hAnsi="Times New Roman"/>
          <w:iCs/>
          <w:sz w:val="24"/>
          <w:szCs w:val="24"/>
        </w:rPr>
        <w:t xml:space="preserve">Human Reproduction </w:t>
      </w:r>
      <w:r w:rsidRPr="00E663F4">
        <w:rPr>
          <w:rFonts w:ascii="Times New Roman" w:hAnsi="Times New Roman"/>
          <w:sz w:val="24"/>
          <w:szCs w:val="24"/>
        </w:rPr>
        <w:t>2007</w:t>
      </w:r>
      <w:r w:rsidRPr="00E663F4">
        <w:rPr>
          <w:rFonts w:ascii="Times New Roman" w:hAnsi="Times New Roman"/>
          <w:i/>
          <w:iCs/>
          <w:sz w:val="24"/>
          <w:szCs w:val="24"/>
        </w:rPr>
        <w:t>;22</w:t>
      </w:r>
      <w:r w:rsidRPr="00E663F4">
        <w:rPr>
          <w:rFonts w:ascii="Times New Roman" w:hAnsi="Times New Roman"/>
          <w:sz w:val="24"/>
          <w:szCs w:val="24"/>
        </w:rPr>
        <w:t>(4): 1011–1016. doi:10.1093/humrep/del474</w:t>
      </w:r>
    </w:p>
    <w:p w:rsidR="00BF5979" w:rsidRPr="00E663F4" w:rsidRDefault="0098062A" w:rsidP="00352DE7">
      <w:pPr>
        <w:spacing w:line="240" w:lineRule="auto"/>
        <w:rPr>
          <w:rFonts w:ascii="Times New Roman" w:hAnsi="Times New Roman"/>
          <w:sz w:val="24"/>
          <w:szCs w:val="24"/>
        </w:rPr>
      </w:pPr>
      <w:r w:rsidRPr="00E663F4">
        <w:rPr>
          <w:rFonts w:ascii="Times New Roman" w:hAnsi="Times New Roman"/>
          <w:sz w:val="24"/>
          <w:szCs w:val="24"/>
        </w:rPr>
        <w:t>B</w:t>
      </w:r>
      <w:r w:rsidR="00BF5979" w:rsidRPr="00E663F4">
        <w:rPr>
          <w:rFonts w:ascii="Times New Roman" w:hAnsi="Times New Roman"/>
          <w:sz w:val="24"/>
          <w:szCs w:val="24"/>
        </w:rPr>
        <w:t>ao AM, Swaab DF. Sexual differentiation of the human brain: relation to gender identity, sexual orientation and neuropsychiatric disorders. Front Neuroendocrinol 2011;32(2):214-226. doi: 10.1016/j.yfrne.2011.02.007</w:t>
      </w:r>
    </w:p>
    <w:p w:rsidR="00352DE7" w:rsidRPr="00E663F4" w:rsidRDefault="00B21310" w:rsidP="00352DE7">
      <w:pPr>
        <w:spacing w:line="240" w:lineRule="auto"/>
        <w:rPr>
          <w:rFonts w:ascii="Times New Roman" w:hAnsi="Times New Roman"/>
          <w:sz w:val="24"/>
          <w:szCs w:val="24"/>
        </w:rPr>
      </w:pPr>
      <w:r w:rsidRPr="00E663F4">
        <w:rPr>
          <w:rFonts w:ascii="Times New Roman" w:hAnsi="Times New Roman"/>
          <w:sz w:val="24"/>
          <w:szCs w:val="24"/>
        </w:rPr>
        <w:t xml:space="preserve">Basson R. Towards optimal hormonal treatment of male to female gender identity disorder. </w:t>
      </w:r>
      <w:r w:rsidRPr="00E663F4">
        <w:rPr>
          <w:rFonts w:ascii="Times New Roman" w:hAnsi="Times New Roman"/>
          <w:iCs/>
          <w:sz w:val="24"/>
          <w:szCs w:val="24"/>
        </w:rPr>
        <w:t>Journal of Sexual and Reproductive Medicine</w:t>
      </w:r>
      <w:r w:rsidRPr="00E663F4">
        <w:rPr>
          <w:rFonts w:ascii="Times New Roman" w:hAnsi="Times New Roman"/>
          <w:i/>
          <w:iCs/>
          <w:sz w:val="24"/>
          <w:szCs w:val="24"/>
        </w:rPr>
        <w:t xml:space="preserve"> 2001;1</w:t>
      </w:r>
      <w:r w:rsidRPr="00E663F4">
        <w:rPr>
          <w:rFonts w:ascii="Times New Roman" w:hAnsi="Times New Roman"/>
          <w:sz w:val="24"/>
          <w:szCs w:val="24"/>
        </w:rPr>
        <w:t>(1):45–51.</w:t>
      </w:r>
    </w:p>
    <w:p w:rsidR="00352DE7" w:rsidRPr="00E663F4" w:rsidRDefault="00352DE7" w:rsidP="00352DE7">
      <w:pPr>
        <w:spacing w:line="240" w:lineRule="auto"/>
        <w:rPr>
          <w:rFonts w:ascii="Times New Roman" w:hAnsi="Times New Roman"/>
          <w:sz w:val="24"/>
          <w:szCs w:val="24"/>
        </w:rPr>
      </w:pPr>
      <w:r w:rsidRPr="00E663F4">
        <w:rPr>
          <w:rFonts w:ascii="Times New Roman" w:hAnsi="Times New Roman"/>
          <w:sz w:val="24"/>
          <w:szCs w:val="24"/>
        </w:rPr>
        <w:t xml:space="preserve">Basson R, Prior JC. Hormonal therapy of gender dysphoria: The male-to-female transsexual. U: D. Denny (ur.), </w:t>
      </w:r>
      <w:r w:rsidRPr="00E663F4">
        <w:rPr>
          <w:rFonts w:ascii="Times New Roman" w:hAnsi="Times New Roman"/>
          <w:iCs/>
          <w:sz w:val="24"/>
          <w:szCs w:val="24"/>
        </w:rPr>
        <w:t>Current concepts in transgender identity</w:t>
      </w:r>
      <w:r w:rsidRPr="00E663F4">
        <w:rPr>
          <w:rFonts w:ascii="Times New Roman" w:hAnsi="Times New Roman"/>
          <w:i/>
          <w:iCs/>
          <w:sz w:val="24"/>
          <w:szCs w:val="24"/>
        </w:rPr>
        <w:t xml:space="preserve"> </w:t>
      </w:r>
      <w:r w:rsidRPr="00E663F4">
        <w:rPr>
          <w:rFonts w:ascii="Times New Roman" w:hAnsi="Times New Roman"/>
          <w:sz w:val="24"/>
          <w:szCs w:val="24"/>
        </w:rPr>
        <w:t>(str. 277–296). New York, NY: Garland, 1998.</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Begić D. Transseksualnost kao interdisciplinarni fenomen. U: Jokić-Begić N, Begić D. Suvremeni pristup transseksualnosti. Zagreb: Medicinska naklada, 2013.</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Blanchard R, Steiner BW, Clemmensen LH, Dickey R. Prediction of regrets in postoperative transsexuals. Can J Psychiatry 1989;34:43-5.</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Bockting WO, Coleman E. Developmental stages of the transgender coming out process: Toward an integrated identity. U: R. Ettner, S. Monstrey i A. Eyler (ur.), Principles of transgender medicine and surgery (str. 185-208). New York, NY: The Haworth Press, 2007.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Bockting WO, Goldberg J. Multidisciplinary guidelines for transgender care. Binghamton, NY: Haworth Medical, 2006.</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Bockting WO, Knudson G, Goldberg JM. Counseling and mental health care for transgender adults and loved ones. International Journal of Transgenderism 2006;9(3-4):35-82. doi:10.1300/J485v09n03_03</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Bockting WO. From construction to context: Gender through the eyes of the transgendered. Siecus Report 1999;28(1):3.</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Bockting WO. Psychotherapy and the real-life experience: From gender dichotomy to gender diversity. Sexologies 2008;17(4):211-224. doi:10.1016/j.sexol.2008.08.001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Bolin A. Transcending and transgendering: Male-to-female transsexuals, dichotomy and diversity. U: G. Herdt (ur.), Third sex, third gender: Beyond sexual dimorphism in culture and history (str. 447-486). New York, NY: Zone Books, 1994.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Brill SA, Pepper R. The transgender child: A handbook for families and professionals. Berkeley, CA: Cleis Press, 2008. </w:t>
      </w:r>
    </w:p>
    <w:p w:rsidR="00352DE7" w:rsidRPr="00E663F4" w:rsidRDefault="00352DE7" w:rsidP="00352DE7">
      <w:pPr>
        <w:spacing w:line="240" w:lineRule="auto"/>
        <w:rPr>
          <w:rFonts w:ascii="Times New Roman" w:hAnsi="Times New Roman"/>
          <w:sz w:val="24"/>
          <w:szCs w:val="24"/>
        </w:rPr>
      </w:pPr>
      <w:r w:rsidRPr="00E663F4">
        <w:rPr>
          <w:rFonts w:ascii="Times New Roman" w:hAnsi="Times New Roman"/>
          <w:sz w:val="24"/>
          <w:szCs w:val="24"/>
        </w:rPr>
        <w:lastRenderedPageBreak/>
        <w:t xml:space="preserve">Cattrall FR, Healy DL. Long-term metabolic, cardiovascular and neoplastic risks with polycystic ovary syndrome. </w:t>
      </w:r>
      <w:r w:rsidRPr="00E663F4">
        <w:rPr>
          <w:rFonts w:ascii="Times New Roman" w:hAnsi="Times New Roman"/>
          <w:iCs/>
          <w:sz w:val="24"/>
          <w:szCs w:val="24"/>
        </w:rPr>
        <w:t xml:space="preserve">Best Practice &amp; Research Clinical Obstetrics &amp; Gynaecology </w:t>
      </w:r>
      <w:r w:rsidRPr="00E663F4">
        <w:rPr>
          <w:rFonts w:ascii="Times New Roman" w:hAnsi="Times New Roman"/>
          <w:sz w:val="24"/>
          <w:szCs w:val="24"/>
        </w:rPr>
        <w:t>2004</w:t>
      </w:r>
      <w:r w:rsidRPr="00E663F4">
        <w:rPr>
          <w:rFonts w:ascii="Times New Roman" w:hAnsi="Times New Roman"/>
          <w:iCs/>
          <w:sz w:val="24"/>
          <w:szCs w:val="24"/>
        </w:rPr>
        <w:t>;</w:t>
      </w:r>
      <w:r w:rsidRPr="00E663F4">
        <w:rPr>
          <w:rFonts w:ascii="Times New Roman" w:hAnsi="Times New Roman"/>
          <w:i/>
          <w:iCs/>
          <w:sz w:val="24"/>
          <w:szCs w:val="24"/>
        </w:rPr>
        <w:t>18</w:t>
      </w:r>
      <w:r w:rsidRPr="00E663F4">
        <w:rPr>
          <w:rFonts w:ascii="Times New Roman" w:hAnsi="Times New Roman"/>
          <w:sz w:val="24"/>
          <w:szCs w:val="24"/>
        </w:rPr>
        <w:t xml:space="preserve">(5):803–812. doi:10.1016/j.bpobgyn.2004.05.005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Chivers ML, Bailey JM. Sexual orientation of female-to-male transsexuals: A comparison of homosexual and nonhomosexual types. Archives of sexual behavior, 2000;29(3):259-278.</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Cohen-Kettenis PT, Gooren LJG. Transsexualism: a review of etiology, diagnosis and treatment. Journal of Psychosomatic Research 1999;46(4):315-333.</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Cohen-Kettenis PT, Pfäfflin F. Transgenderism and intersexuality in childhood and adolescence: Making choices. Thousand Oaks, CA: Sage, 2003.</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Cohen-Kettenis PT. Gender identity disorders. U: C. Gillberg, R. Harrington i H. C. Steinhausen (ur.), A clinician’s handbook of child and adolescent psychiatry (str. 695-725). New York, NY: Cambridge University Press, 2006.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Coleman E, Bockting W, Botzer M, Cohen</w:t>
      </w:r>
      <w:r w:rsidRPr="00E663F4">
        <w:rPr>
          <w:rFonts w:ascii="Cambria Math" w:hAnsi="Cambria Math" w:cs="Cambria Math"/>
          <w:sz w:val="24"/>
          <w:szCs w:val="24"/>
        </w:rPr>
        <w:t>‐</w:t>
      </w:r>
      <w:r w:rsidRPr="00E663F4">
        <w:rPr>
          <w:rFonts w:ascii="Times New Roman" w:hAnsi="Times New Roman"/>
          <w:sz w:val="24"/>
          <w:szCs w:val="24"/>
        </w:rPr>
        <w:t>Kettenis P, DeCuypere G, Feldman J, Fraser L, Green J, Knudson G, Meyer WJ, Monstrey S, Adler RK, Brown GR, Devor AH, Ehrbar R, Ettner R, Eyler E, Garofalo R, Karasic DH, Lev AI, Mayer G, Meyer-Bahlburg H, Hall BP, Pfaefflin F, Rachlin K, Robinson B, Schechter LS, Tangpricha V, van Trotsenburg M, Vitale A, Winter S, Whittle S,Wylie KR, Zucker K. Standards of care for the health of transsexual, transgender, and gender nonconforming people, 7th version. International Journal of Transgenderism 2012;13:165</w:t>
      </w:r>
      <w:r w:rsidRPr="00E663F4">
        <w:rPr>
          <w:rFonts w:ascii="Cambria Math" w:hAnsi="Cambria Math" w:cs="Cambria Math"/>
          <w:sz w:val="24"/>
          <w:szCs w:val="24"/>
        </w:rPr>
        <w:t>‐</w:t>
      </w:r>
      <w:r w:rsidRPr="00E663F4">
        <w:rPr>
          <w:rFonts w:ascii="Times New Roman" w:hAnsi="Times New Roman"/>
          <w:sz w:val="24"/>
          <w:szCs w:val="24"/>
        </w:rPr>
        <w:t>232.doi:10.1080/15532739.2011.700873</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Coolidge FL, Thede LL, Young SE. The heritability of gender identity disorder in a child and adolescent twin sample. Behav Genet 2002;32(4):251-257.</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Coussinoux ST, Smith GJ, Bourdel MC, Cordier B, Brémont C, Poirier MF, Haddou M, Olié JP. Tests de personnalité et identification sexuée chez des transsexuels masculins. L'Encéphale 2005;31(1): 24-30.</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D’Augelli AR. Stress and adaptation among families of lesbian, gay, and bisexual youth: Research challenges. Journal of GLBT Family Studies 2005;1(2):115-135.</w:t>
      </w:r>
    </w:p>
    <w:p w:rsidR="00B21310" w:rsidRPr="00E663F4" w:rsidRDefault="00B21310" w:rsidP="00352DE7">
      <w:pPr>
        <w:spacing w:line="240" w:lineRule="auto"/>
        <w:rPr>
          <w:rFonts w:ascii="Times New Roman" w:hAnsi="Times New Roman"/>
          <w:sz w:val="24"/>
          <w:szCs w:val="24"/>
        </w:rPr>
      </w:pPr>
      <w:r w:rsidRPr="00E663F4">
        <w:rPr>
          <w:rFonts w:ascii="Times New Roman" w:hAnsi="Times New Roman"/>
          <w:sz w:val="24"/>
          <w:szCs w:val="24"/>
        </w:rPr>
        <w:t xml:space="preserve">Dahl M, Feldman JL, Goldberg JM, Jaberi A. Physical aspects of transgender endocrine therapy. </w:t>
      </w:r>
      <w:r w:rsidRPr="00E663F4">
        <w:rPr>
          <w:rFonts w:ascii="Times New Roman" w:hAnsi="Times New Roman"/>
          <w:iCs/>
          <w:sz w:val="24"/>
          <w:szCs w:val="24"/>
        </w:rPr>
        <w:t>International Journal of Transgenderism 2006;9</w:t>
      </w:r>
      <w:r w:rsidRPr="00E663F4">
        <w:rPr>
          <w:rFonts w:ascii="Times New Roman" w:hAnsi="Times New Roman"/>
          <w:sz w:val="24"/>
          <w:szCs w:val="24"/>
        </w:rPr>
        <w:t xml:space="preserve">(3):111–134. doi:10.1300/J485v09n03_06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De Cuypere G, Gijs L. Care for adults with gender dysphoria. U: Kreulels BPC, Steensma TD, de Vries ALC. (ur). Gender Dysphoria and Disorders of Sex Development (pp. 231-254). Springer US, 2014.</w:t>
      </w:r>
    </w:p>
    <w:p w:rsidR="00352DE7" w:rsidRPr="00E663F4" w:rsidRDefault="00352DE7" w:rsidP="00352DE7">
      <w:pPr>
        <w:spacing w:line="240" w:lineRule="auto"/>
        <w:rPr>
          <w:rFonts w:ascii="Times New Roman" w:hAnsi="Times New Roman"/>
          <w:sz w:val="24"/>
          <w:szCs w:val="24"/>
        </w:rPr>
      </w:pPr>
      <w:r w:rsidRPr="00E663F4">
        <w:rPr>
          <w:rFonts w:ascii="Times New Roman" w:hAnsi="Times New Roman"/>
          <w:sz w:val="24"/>
          <w:szCs w:val="24"/>
        </w:rPr>
        <w:t xml:space="preserve">De Cuypere G, T’Sjoen G, Beerten R, Selvaggi G, De Sutter P, Hoebeke P, . . . Rubens R. Sexual and physical health after sex reassignment surgery. </w:t>
      </w:r>
      <w:r w:rsidRPr="00E663F4">
        <w:rPr>
          <w:rFonts w:ascii="Times New Roman" w:hAnsi="Times New Roman"/>
          <w:iCs/>
          <w:sz w:val="24"/>
          <w:szCs w:val="24"/>
        </w:rPr>
        <w:t xml:space="preserve">Archives of Sexual Behavior </w:t>
      </w:r>
      <w:r w:rsidRPr="00E663F4">
        <w:rPr>
          <w:rFonts w:ascii="Times New Roman" w:hAnsi="Times New Roman"/>
          <w:sz w:val="24"/>
          <w:szCs w:val="24"/>
        </w:rPr>
        <w:t>2005</w:t>
      </w:r>
      <w:r w:rsidRPr="00E663F4">
        <w:rPr>
          <w:rFonts w:ascii="Times New Roman" w:hAnsi="Times New Roman"/>
          <w:iCs/>
          <w:sz w:val="24"/>
          <w:szCs w:val="24"/>
        </w:rPr>
        <w:t>;</w:t>
      </w:r>
      <w:r w:rsidRPr="00E663F4">
        <w:rPr>
          <w:rFonts w:ascii="Times New Roman" w:hAnsi="Times New Roman"/>
          <w:i/>
          <w:iCs/>
          <w:sz w:val="24"/>
          <w:szCs w:val="24"/>
        </w:rPr>
        <w:t>34</w:t>
      </w:r>
      <w:r w:rsidRPr="00E663F4">
        <w:rPr>
          <w:rFonts w:ascii="Times New Roman" w:hAnsi="Times New Roman"/>
          <w:sz w:val="24"/>
          <w:szCs w:val="24"/>
        </w:rPr>
        <w:t xml:space="preserve">(6): 679–690. doi:10.1007/s10508–005–7926–5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de Vries ALC, Cohen-Kettenis PT, Delemarre-van de Waal HA. Clinical management of gender dysphoria in adolescents. International Journal of Transgenderism 2006;9(3-4): 83-94. doi:10.1300/J485v09n03_04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 de Vries ALC, Doreleijers TAH, Steensma TD, Cohen-Kettenis PT. Psychiatric comorbidity in gender dysphoric adolescents. Journal of Child Psychology and Psychiatry. Advance online publication. 2011. doi:10.1111/j.1469–7610.2011.02426.x</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lastRenderedPageBreak/>
        <w:t>de Vries ALC, McGuire JK, Steensma TD, Wagenaar ECF, Doreleijers TAH, Cohen</w:t>
      </w:r>
      <w:r w:rsidRPr="00E663F4">
        <w:rPr>
          <w:rFonts w:ascii="Cambria Math" w:hAnsi="Cambria Math" w:cs="Cambria Math"/>
          <w:sz w:val="24"/>
          <w:szCs w:val="24"/>
        </w:rPr>
        <w:t>‐</w:t>
      </w:r>
      <w:r w:rsidR="00B21310" w:rsidRPr="00E663F4">
        <w:rPr>
          <w:rFonts w:ascii="Times New Roman" w:hAnsi="Times New Roman"/>
          <w:sz w:val="24"/>
          <w:szCs w:val="24"/>
        </w:rPr>
        <w:t xml:space="preserve"> Kettenis PT. Young adult psychological outcome after puberty suppression and gender gender reassignment. Pediatrics 2014;134(4):696-704.</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de Vries ALC, Noens ILJ, Cohen-Kettenis PT, van Berckelaer-Onnes IA, Doreleijers TA. Autism spectrum disorders in gender dysphoric children and adolescents. Journal of Autism and Developmental Disorders 2010;40(8):930-936. doi:10.1007/s10803–010–0935–9</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 de Vries ALC, Steensma TD, Doreleijers TAH, Cohen-Kettenis PT. Puberty suppression in adolescents with gender identity disorder: A prospective follow-up study. The Journal of Sexual Medicine. Advance online publication. 2010. doi:10.1111/j.1743–6109.2010.01943.x</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Dhejne C, Öberg K, Arver S, Landén M. An analysis of all applications for sex reassignment surgery in Sweden, 1960–2010: prevalence, incidence, and regrets. Archives of sexual behavior 2014;43(8):1535-1545.</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Di Ceglie D, Thümmel EC. An experience of group work with parents of children and adolescents with gender identity disorder. Clinical Child Psychology and Psychiatry 2006;11(3):387-396. doi:10.1177/1359104506064983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Diagnostic and Statistical Manual of Mental Disorders. DSM-5. Washington, DC: American PsychiatricPublishing, 2013.</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Dijagnostički i statistički priručnik za duševne poremećaje, 4. izdanje (DSM-IV). Jastrebarsko: Naklada Slap, 1996.</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Drescher J, Cohen-Kettenis P, Winter S. Minding the body: Situating gender identity diagnoses in the ICD-11. International Review of Psychiatry 2012;24(6):568-577.</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Drummond KD, Bradley SJ, Peterson-Badali M, Zucker KJ. A follow-up study of girls with gender identity disorder. Developmental Psychology 2008;44(1):34-45. doi:10.1037/0012–1649.44.1.34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Erickson-Schroth L. Update on the Biology of Transgender Identity. Journal of Gay &amp; Lesbian Mental Health 2013;17(2):150-174.</w:t>
      </w:r>
    </w:p>
    <w:p w:rsidR="00B21310" w:rsidRPr="00E663F4" w:rsidRDefault="00B21310" w:rsidP="00352DE7">
      <w:pPr>
        <w:spacing w:line="240" w:lineRule="auto"/>
        <w:rPr>
          <w:rFonts w:ascii="Times New Roman" w:hAnsi="Times New Roman"/>
          <w:sz w:val="24"/>
          <w:szCs w:val="24"/>
        </w:rPr>
      </w:pPr>
      <w:r w:rsidRPr="00E663F4">
        <w:rPr>
          <w:rFonts w:ascii="Times New Roman" w:hAnsi="Times New Roman"/>
          <w:sz w:val="24"/>
          <w:szCs w:val="24"/>
        </w:rPr>
        <w:t xml:space="preserve">Feldman J. Preventive care of the transgendered patient. U: R. Ettner, S. Monstrey i E. Eyler (ur.), </w:t>
      </w:r>
      <w:r w:rsidRPr="00E663F4">
        <w:rPr>
          <w:rFonts w:ascii="Times New Roman" w:hAnsi="Times New Roman"/>
          <w:iCs/>
          <w:sz w:val="24"/>
          <w:szCs w:val="24"/>
        </w:rPr>
        <w:t>Principles of transgender surgery and medicine</w:t>
      </w:r>
      <w:r w:rsidRPr="00E663F4">
        <w:rPr>
          <w:rFonts w:ascii="Times New Roman" w:hAnsi="Times New Roman"/>
          <w:i/>
          <w:iCs/>
          <w:sz w:val="24"/>
          <w:szCs w:val="24"/>
        </w:rPr>
        <w:t xml:space="preserve"> </w:t>
      </w:r>
      <w:r w:rsidRPr="00E663F4">
        <w:rPr>
          <w:rFonts w:ascii="Times New Roman" w:hAnsi="Times New Roman"/>
          <w:sz w:val="24"/>
          <w:szCs w:val="24"/>
        </w:rPr>
        <w:t>(str. 33–72). Binghamton, NY: Haworth Press</w:t>
      </w:r>
      <w:r w:rsidR="00DE7C55" w:rsidRPr="00E663F4">
        <w:rPr>
          <w:rFonts w:ascii="Times New Roman" w:hAnsi="Times New Roman"/>
          <w:sz w:val="24"/>
          <w:szCs w:val="24"/>
        </w:rPr>
        <w:t>, 2007</w:t>
      </w:r>
      <w:r w:rsidRPr="00E663F4">
        <w:rPr>
          <w:rFonts w:ascii="Times New Roman" w:hAnsi="Times New Roman"/>
          <w:sz w:val="24"/>
          <w:szCs w:val="24"/>
        </w:rPr>
        <w:t xml:space="preserve">. </w:t>
      </w:r>
    </w:p>
    <w:p w:rsidR="00B21310" w:rsidRPr="00E663F4" w:rsidRDefault="00B21310" w:rsidP="00352DE7">
      <w:pPr>
        <w:spacing w:line="240" w:lineRule="auto"/>
        <w:rPr>
          <w:rFonts w:ascii="Times New Roman" w:hAnsi="Times New Roman"/>
          <w:sz w:val="24"/>
          <w:szCs w:val="24"/>
        </w:rPr>
      </w:pPr>
      <w:r w:rsidRPr="00E663F4">
        <w:rPr>
          <w:rFonts w:ascii="Times New Roman" w:hAnsi="Times New Roman"/>
          <w:sz w:val="24"/>
          <w:szCs w:val="24"/>
        </w:rPr>
        <w:t xml:space="preserve">Feldman J, Goldberg J. Transgender primary medical care. </w:t>
      </w:r>
      <w:r w:rsidRPr="00E663F4">
        <w:rPr>
          <w:rFonts w:ascii="Times New Roman" w:hAnsi="Times New Roman"/>
          <w:iCs/>
          <w:sz w:val="24"/>
          <w:szCs w:val="24"/>
        </w:rPr>
        <w:t xml:space="preserve">International Journal of Transgenderism </w:t>
      </w:r>
      <w:r w:rsidRPr="00E663F4">
        <w:rPr>
          <w:rFonts w:ascii="Times New Roman" w:hAnsi="Times New Roman"/>
          <w:sz w:val="24"/>
          <w:szCs w:val="24"/>
        </w:rPr>
        <w:t xml:space="preserve">2006; </w:t>
      </w:r>
      <w:r w:rsidRPr="00E663F4">
        <w:rPr>
          <w:rFonts w:ascii="Times New Roman" w:hAnsi="Times New Roman"/>
          <w:i/>
          <w:iCs/>
          <w:sz w:val="24"/>
          <w:szCs w:val="24"/>
        </w:rPr>
        <w:t>9</w:t>
      </w:r>
      <w:r w:rsidRPr="00E663F4">
        <w:rPr>
          <w:rFonts w:ascii="Times New Roman" w:hAnsi="Times New Roman"/>
          <w:sz w:val="24"/>
          <w:szCs w:val="24"/>
        </w:rPr>
        <w:t xml:space="preserve">(3):3–34. doi:10.1300/J485v09n03_02 </w:t>
      </w:r>
    </w:p>
    <w:p w:rsidR="00B21310" w:rsidRPr="00E663F4" w:rsidRDefault="00B21310" w:rsidP="00352DE7">
      <w:pPr>
        <w:spacing w:line="240" w:lineRule="auto"/>
        <w:rPr>
          <w:rFonts w:ascii="Times New Roman" w:hAnsi="Times New Roman"/>
          <w:sz w:val="24"/>
          <w:szCs w:val="24"/>
        </w:rPr>
      </w:pPr>
      <w:r w:rsidRPr="00E663F4">
        <w:rPr>
          <w:rFonts w:ascii="Times New Roman" w:hAnsi="Times New Roman"/>
          <w:sz w:val="24"/>
          <w:szCs w:val="24"/>
        </w:rPr>
        <w:t>Feldman J, Safer J. Hormone therapy in adults: Suggested revisions to the sixth version of the S</w:t>
      </w:r>
      <w:r w:rsidRPr="00E663F4">
        <w:rPr>
          <w:rFonts w:ascii="Times New Roman" w:hAnsi="Times New Roman"/>
          <w:iCs/>
          <w:sz w:val="24"/>
          <w:szCs w:val="24"/>
        </w:rPr>
        <w:t>tandards</w:t>
      </w:r>
      <w:r w:rsidRPr="00E663F4">
        <w:rPr>
          <w:rFonts w:ascii="Times New Roman" w:hAnsi="Times New Roman"/>
          <w:i/>
          <w:iCs/>
          <w:sz w:val="24"/>
          <w:szCs w:val="24"/>
        </w:rPr>
        <w:t xml:space="preserve"> </w:t>
      </w:r>
      <w:r w:rsidRPr="00E663F4">
        <w:rPr>
          <w:rFonts w:ascii="Times New Roman" w:hAnsi="Times New Roman"/>
          <w:iCs/>
          <w:sz w:val="24"/>
          <w:szCs w:val="24"/>
        </w:rPr>
        <w:t>of care</w:t>
      </w:r>
      <w:r w:rsidRPr="00E663F4">
        <w:rPr>
          <w:rFonts w:ascii="Times New Roman" w:hAnsi="Times New Roman"/>
          <w:sz w:val="24"/>
          <w:szCs w:val="24"/>
        </w:rPr>
        <w:t xml:space="preserve">. </w:t>
      </w:r>
      <w:r w:rsidRPr="00E663F4">
        <w:rPr>
          <w:rFonts w:ascii="Times New Roman" w:hAnsi="Times New Roman"/>
          <w:iCs/>
          <w:sz w:val="24"/>
          <w:szCs w:val="24"/>
        </w:rPr>
        <w:t>International Journal of Transgenderism</w:t>
      </w:r>
      <w:r w:rsidRPr="00E663F4">
        <w:rPr>
          <w:rFonts w:ascii="Times New Roman" w:hAnsi="Times New Roman"/>
          <w:i/>
          <w:iCs/>
          <w:sz w:val="24"/>
          <w:szCs w:val="24"/>
        </w:rPr>
        <w:t xml:space="preserve"> </w:t>
      </w:r>
      <w:r w:rsidRPr="00E663F4">
        <w:rPr>
          <w:rFonts w:ascii="Times New Roman" w:hAnsi="Times New Roman"/>
          <w:sz w:val="24"/>
          <w:szCs w:val="24"/>
        </w:rPr>
        <w:t xml:space="preserve">2009; </w:t>
      </w:r>
      <w:r w:rsidRPr="00E663F4">
        <w:rPr>
          <w:rFonts w:ascii="Times New Roman" w:hAnsi="Times New Roman"/>
          <w:i/>
          <w:iCs/>
          <w:sz w:val="24"/>
          <w:szCs w:val="24"/>
        </w:rPr>
        <w:t>11</w:t>
      </w:r>
      <w:r w:rsidRPr="00E663F4">
        <w:rPr>
          <w:rFonts w:ascii="Times New Roman" w:hAnsi="Times New Roman"/>
          <w:sz w:val="24"/>
          <w:szCs w:val="24"/>
        </w:rPr>
        <w:t xml:space="preserve">(3):146–182. doi:10.1080/15532730903383757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Fraser L. Depth psychotherapy with transgender people. Sexual and Relationship Therapy. 2009;24(2):126-142. doi:10.1080/14681990903003878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Garland AF, Hough RL, McCabe KM, Yeh MAY, Wood PA, Aarons GA. Prevalence of psychiatric disorders in youths across five sectors of care. Journal of the American Academy of Child &amp; Adolescent Psychiatry 2001;40(4):409-418.</w:t>
      </w:r>
    </w:p>
    <w:p w:rsidR="006C450E" w:rsidRPr="00E663F4" w:rsidRDefault="006C450E" w:rsidP="00352DE7">
      <w:pPr>
        <w:spacing w:line="240" w:lineRule="auto"/>
        <w:rPr>
          <w:rFonts w:ascii="Times New Roman" w:hAnsi="Times New Roman"/>
          <w:sz w:val="24"/>
          <w:szCs w:val="24"/>
        </w:rPr>
      </w:pPr>
      <w:r w:rsidRPr="00E663F4">
        <w:rPr>
          <w:rFonts w:ascii="Times New Roman" w:hAnsi="Times New Roman"/>
          <w:sz w:val="24"/>
          <w:szCs w:val="24"/>
        </w:rPr>
        <w:lastRenderedPageBreak/>
        <w:t xml:space="preserve">Gharib S, Bigby J, Chapin M, Ginsburg E, Johnson P, Manson J, Solomon C. </w:t>
      </w:r>
      <w:r w:rsidRPr="00E663F4">
        <w:rPr>
          <w:rFonts w:ascii="Times New Roman" w:hAnsi="Times New Roman"/>
          <w:iCs/>
          <w:sz w:val="24"/>
          <w:szCs w:val="24"/>
        </w:rPr>
        <w:t>Menopause: A guide to management</w:t>
      </w:r>
      <w:r w:rsidRPr="00E663F4">
        <w:rPr>
          <w:rFonts w:ascii="Times New Roman" w:hAnsi="Times New Roman"/>
          <w:sz w:val="24"/>
          <w:szCs w:val="24"/>
        </w:rPr>
        <w:t>. Boston, MA: Brigham and Women’s Hospital 2005.</w:t>
      </w:r>
    </w:p>
    <w:p w:rsidR="006C450E" w:rsidRPr="00E663F4" w:rsidRDefault="006C450E" w:rsidP="00352DE7">
      <w:pPr>
        <w:spacing w:line="240" w:lineRule="auto"/>
        <w:rPr>
          <w:rFonts w:ascii="Times New Roman" w:hAnsi="Times New Roman"/>
          <w:sz w:val="24"/>
          <w:szCs w:val="24"/>
        </w:rPr>
      </w:pP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Gijs L, van der Putten-Bierman E, De Cuypere G. Psychiatric Comorbidity in Adults with Gender Identity Problems. U: Kreulels BPC, Steensma TD, de Vries ALC. (ur).  Gender Dysphoria and Disorders of Sex Development (</w:t>
      </w:r>
      <w:r w:rsidR="00B21310" w:rsidRPr="00E663F4">
        <w:rPr>
          <w:rFonts w:ascii="Times New Roman" w:hAnsi="Times New Roman"/>
          <w:sz w:val="24"/>
          <w:szCs w:val="24"/>
        </w:rPr>
        <w:t>str</w:t>
      </w:r>
      <w:r w:rsidRPr="00E663F4">
        <w:rPr>
          <w:rFonts w:ascii="Times New Roman" w:hAnsi="Times New Roman"/>
          <w:sz w:val="24"/>
          <w:szCs w:val="24"/>
        </w:rPr>
        <w:t>. 255-276). Springer US, 2014.</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Gómez-Gil E, Trilla A, Salamero M, Godás T, Valdés M. Sociodemographic, clinical, and psychiatric characteristics of transsexuals from Spain. Archives of Sexual Behavior 2009;38(3):378-392. doi:10.1007/s10508–007–9307–8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Grossman AH, D’Augelli AR, Howell TJ, Hubbard S. Parent’s reactions to transgender youth’s gender-nonconforming expression and identity. Journal of Gay &amp; Lesbian Social Services 2006;18(1):3-16. doi:10.1300/J041v18n01_02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Grossman AH, D’Augelli AR. Transgender youth and life</w:t>
      </w:r>
      <w:r w:rsidRPr="00E663F4">
        <w:rPr>
          <w:rFonts w:ascii="Cambria Math" w:hAnsi="Cambria Math" w:cs="Cambria Math"/>
          <w:sz w:val="24"/>
          <w:szCs w:val="24"/>
        </w:rPr>
        <w:t>‐</w:t>
      </w:r>
      <w:r w:rsidRPr="00E663F4">
        <w:rPr>
          <w:rFonts w:ascii="Times New Roman" w:hAnsi="Times New Roman"/>
          <w:sz w:val="24"/>
          <w:szCs w:val="24"/>
        </w:rPr>
        <w:t>threatening behaviors. Suicide and Life-Threatening Behavior 2007;37(5):527-537.</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Grujić Koračin J. Interdisciplinarni pristup  transseksualnosti – ginekološko iskustvo. Gynaecol Perinatol 2013;22(4):182-190.</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Hare L, Bernard P, Sanchez F, Baird P, Vilain E, Kennedy T, Harley V. Androgen Receptor Repeat Length Polymorphism Associated with Male-to-Female Transsexualism. Biological Psychiatry 2009;65(1):93-96.</w:t>
      </w:r>
    </w:p>
    <w:p w:rsidR="006F458A" w:rsidRPr="00E663F4" w:rsidRDefault="006F458A" w:rsidP="00352DE7">
      <w:pPr>
        <w:spacing w:line="240" w:lineRule="auto"/>
        <w:rPr>
          <w:rFonts w:ascii="Times New Roman" w:hAnsi="Times New Roman"/>
          <w:sz w:val="24"/>
          <w:szCs w:val="24"/>
        </w:rPr>
      </w:pPr>
      <w:r w:rsidRPr="00E663F4">
        <w:rPr>
          <w:rFonts w:ascii="Times New Roman" w:hAnsi="Times New Roman"/>
          <w:sz w:val="24"/>
          <w:szCs w:val="24"/>
        </w:rPr>
        <w:t>Hembree WC, Cohen-Kettenis P, Delemarre-van de Waal HA, Gooren LJ, Meyer III WJ, Spack, NP, . . . Montori V</w:t>
      </w:r>
      <w:r w:rsidR="0098062A" w:rsidRPr="00E663F4">
        <w:rPr>
          <w:rFonts w:ascii="Times New Roman" w:hAnsi="Times New Roman"/>
          <w:sz w:val="24"/>
          <w:szCs w:val="24"/>
        </w:rPr>
        <w:t>M</w:t>
      </w:r>
      <w:r w:rsidRPr="00E663F4">
        <w:rPr>
          <w:rFonts w:ascii="Times New Roman" w:hAnsi="Times New Roman"/>
          <w:sz w:val="24"/>
          <w:szCs w:val="24"/>
        </w:rPr>
        <w:t xml:space="preserve">. Endocrine treatment of transsexual persons: An Endocrine Society clinical practice guideline. </w:t>
      </w:r>
      <w:r w:rsidRPr="00E663F4">
        <w:rPr>
          <w:rFonts w:ascii="Times New Roman" w:hAnsi="Times New Roman"/>
          <w:iCs/>
          <w:sz w:val="24"/>
          <w:szCs w:val="24"/>
        </w:rPr>
        <w:t>Journal of Clinical Endocrinology &amp; Metabolism</w:t>
      </w:r>
      <w:r w:rsidR="0098062A" w:rsidRPr="00E663F4">
        <w:rPr>
          <w:rFonts w:ascii="Times New Roman" w:hAnsi="Times New Roman"/>
          <w:i/>
          <w:iCs/>
          <w:sz w:val="24"/>
          <w:szCs w:val="24"/>
        </w:rPr>
        <w:t xml:space="preserve"> </w:t>
      </w:r>
      <w:r w:rsidR="0098062A" w:rsidRPr="00E663F4">
        <w:rPr>
          <w:rFonts w:ascii="Times New Roman" w:hAnsi="Times New Roman"/>
          <w:iCs/>
          <w:sz w:val="24"/>
          <w:szCs w:val="24"/>
        </w:rPr>
        <w:t xml:space="preserve">2009; </w:t>
      </w:r>
      <w:r w:rsidRPr="00E663F4">
        <w:rPr>
          <w:rFonts w:ascii="Times New Roman" w:hAnsi="Times New Roman"/>
          <w:i/>
          <w:iCs/>
          <w:sz w:val="24"/>
          <w:szCs w:val="24"/>
        </w:rPr>
        <w:t>94</w:t>
      </w:r>
      <w:r w:rsidRPr="00E663F4">
        <w:rPr>
          <w:rFonts w:ascii="Times New Roman" w:hAnsi="Times New Roman"/>
          <w:sz w:val="24"/>
          <w:szCs w:val="24"/>
        </w:rPr>
        <w:t>(9)</w:t>
      </w:r>
      <w:r w:rsidR="0098062A" w:rsidRPr="00E663F4">
        <w:rPr>
          <w:rFonts w:ascii="Times New Roman" w:hAnsi="Times New Roman"/>
          <w:sz w:val="24"/>
          <w:szCs w:val="24"/>
        </w:rPr>
        <w:t>:</w:t>
      </w:r>
      <w:r w:rsidRPr="00E663F4">
        <w:rPr>
          <w:rFonts w:ascii="Times New Roman" w:hAnsi="Times New Roman"/>
          <w:sz w:val="24"/>
          <w:szCs w:val="24"/>
        </w:rPr>
        <w:t xml:space="preserve">3132–3154. doi:10.1210/jc.2009–0345 </w:t>
      </w:r>
    </w:p>
    <w:p w:rsidR="00BF5979" w:rsidRPr="00E663F4" w:rsidRDefault="00DE7C55" w:rsidP="00352DE7">
      <w:pPr>
        <w:spacing w:line="240" w:lineRule="auto"/>
        <w:rPr>
          <w:rFonts w:ascii="Times New Roman" w:hAnsi="Times New Roman"/>
          <w:sz w:val="24"/>
          <w:szCs w:val="24"/>
        </w:rPr>
      </w:pPr>
      <w:r w:rsidRPr="00E663F4">
        <w:rPr>
          <w:rFonts w:ascii="Times New Roman" w:hAnsi="Times New Roman"/>
          <w:sz w:val="24"/>
          <w:szCs w:val="24"/>
        </w:rPr>
        <w:t>H</w:t>
      </w:r>
      <w:r w:rsidR="00BF5979" w:rsidRPr="00E663F4">
        <w:rPr>
          <w:rFonts w:ascii="Times New Roman" w:hAnsi="Times New Roman"/>
          <w:sz w:val="24"/>
          <w:szCs w:val="24"/>
        </w:rPr>
        <w:t>erman-Jeglińska A, Grabowska A, Dulko S. Masculinity, femininity, and transsexualism. Archives of Sexual Behavior 2002;31(6):527-534.</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Heylens G, Elaut E, Kreukels BPC, Paap MCS, Cerwenka S, Richter-Appelt H, Cohen-Kettenis PT, Haraldsen IR, De Cuypere G. Psychiatric characteristics in transsexual individuals: multicentre study in four European countries. The British Journal of Psychiatry 2014;204(2):151-156.</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Hill DB, Menvielle E, Sica KM, Johnson A. An affirmative intervention for families with gender-variant children: Parental ratings of child mental health and gender. Journal of Sex and Marital Therapy 2010;36(1):6-23. doi:10.1080/00926230903375560</w:t>
      </w:r>
    </w:p>
    <w:p w:rsidR="006C450E" w:rsidRPr="00E663F4" w:rsidRDefault="006C450E" w:rsidP="00352DE7">
      <w:pPr>
        <w:spacing w:line="240" w:lineRule="auto"/>
        <w:rPr>
          <w:rFonts w:ascii="Times New Roman" w:hAnsi="Times New Roman"/>
          <w:sz w:val="24"/>
          <w:szCs w:val="24"/>
        </w:rPr>
      </w:pPr>
      <w:r w:rsidRPr="00E663F4">
        <w:rPr>
          <w:rFonts w:ascii="Times New Roman" w:hAnsi="Times New Roman"/>
          <w:sz w:val="24"/>
          <w:szCs w:val="24"/>
        </w:rPr>
        <w:t xml:space="preserve">Jockenhövel F. Testosterone therapy - what, when and to whom? </w:t>
      </w:r>
      <w:r w:rsidRPr="00E663F4">
        <w:rPr>
          <w:rFonts w:ascii="Times New Roman" w:hAnsi="Times New Roman"/>
          <w:iCs/>
          <w:sz w:val="24"/>
          <w:szCs w:val="24"/>
        </w:rPr>
        <w:t xml:space="preserve">The Aging Male </w:t>
      </w:r>
      <w:r w:rsidRPr="00E663F4">
        <w:rPr>
          <w:rFonts w:ascii="Times New Roman" w:hAnsi="Times New Roman"/>
          <w:sz w:val="24"/>
          <w:szCs w:val="24"/>
        </w:rPr>
        <w:t>2004;</w:t>
      </w:r>
      <w:r w:rsidRPr="00E663F4">
        <w:rPr>
          <w:rFonts w:ascii="Times New Roman" w:hAnsi="Times New Roman"/>
          <w:i/>
          <w:iCs/>
          <w:sz w:val="24"/>
          <w:szCs w:val="24"/>
        </w:rPr>
        <w:t>7</w:t>
      </w:r>
      <w:r w:rsidRPr="00E663F4">
        <w:rPr>
          <w:rFonts w:ascii="Times New Roman" w:hAnsi="Times New Roman"/>
          <w:sz w:val="24"/>
          <w:szCs w:val="24"/>
        </w:rPr>
        <w:t xml:space="preserve">(4):319–324. doi:10.1080/13685530400016557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Jokić-Begić N, Babić Čikaš A, Jurin T, Lučev E, Markanović D, Ručević S. Transseksualnost: život u krivom tijelu? Liječnički Vjesnik 2008;130:237-247.</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Jokić-Begić N, Lauri Korajlija A, Jurin T. Psychosocial adjustment to sex reassignment surgery: a qualitative examination and personal experiences of six transsexual persons in Croatia. Scientific World Journal 2014;Mar 25:960745. doi: 10.1155/2014/960745. eCollection.</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lastRenderedPageBreak/>
        <w:t>Jokić-Begić N. Psihološki aspekti transseksualnosti. U: Jokić-Begić N, Begić D. Suvremeni pristup transseksualnosti. Zagreb: Medicinska naklada, 2013.</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Kruijver FPM, Zhou JN, Pool CW, Hofman MA, Gooren LJG, Swaab DF. Male-to-Female Transsexuals Have Female Neuron Numbers in a Limbic Nucleus. Journal of Clinical Endocrinology &amp; Metabolism 2000;85(5):2034-2041.</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Lauri Korajlija A, Jokić-Begić N, Jurin T. (Ne)znanje je (ne)moć – stručna pomoć transspolnim osobama. Zbornik radova 22. dani Ramira i Zorana Bujasa, Zagreb, 2015.</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Lawrence AA. Factors associated with satisfaction or regret following male-to-female sex reassignment surgery. Archives of Sexual Behavior 2003;32(4):299-315. doi:10.1023/A:1024086814364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 Lev AI. Transgender emergence: Therapeutic guidelines for working with gender-variant people and their families. Binghamton, NY: Haworth Clinical Practice Press, 2004.</w:t>
      </w:r>
    </w:p>
    <w:p w:rsidR="00DE7C55" w:rsidRPr="00E663F4" w:rsidRDefault="00DE7C55" w:rsidP="00352DE7">
      <w:pPr>
        <w:spacing w:line="240" w:lineRule="auto"/>
        <w:rPr>
          <w:rFonts w:ascii="Times New Roman" w:hAnsi="Times New Roman"/>
          <w:sz w:val="24"/>
          <w:szCs w:val="24"/>
        </w:rPr>
      </w:pPr>
      <w:r w:rsidRPr="00E663F4">
        <w:rPr>
          <w:rFonts w:ascii="Times New Roman" w:hAnsi="Times New Roman"/>
          <w:sz w:val="24"/>
          <w:szCs w:val="24"/>
        </w:rPr>
        <w:t xml:space="preserve">Levy A, Crown A, Reid R. Endocrine intervention for transsexuals. </w:t>
      </w:r>
      <w:r w:rsidRPr="00E663F4">
        <w:rPr>
          <w:rFonts w:ascii="Times New Roman" w:hAnsi="Times New Roman"/>
          <w:iCs/>
          <w:sz w:val="24"/>
          <w:szCs w:val="24"/>
        </w:rPr>
        <w:t>Clinical Endocrinology 2003;59</w:t>
      </w:r>
      <w:r w:rsidRPr="00E663F4">
        <w:rPr>
          <w:rFonts w:ascii="Times New Roman" w:hAnsi="Times New Roman"/>
          <w:sz w:val="24"/>
          <w:szCs w:val="24"/>
        </w:rPr>
        <w:t xml:space="preserve">(4). 409–418. doi:10.1046/j.1365–2265.2003.01821.x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Lombardi E. Enhancing transgender health care. American Journal of Public Health 2001;91(6):869-872.</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Maguen S, Shipherd JC, Harris HN. Providing culturally sensitive care for transgender patients. Cognitive and Behavioral Practice 2005;12(4):479-490.</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Malpas J. Between Pink and Blue: A Multi</w:t>
      </w:r>
      <w:r w:rsidRPr="00E663F4">
        <w:rPr>
          <w:rFonts w:ascii="Cambria Math" w:hAnsi="Cambria Math" w:cs="Cambria Math"/>
          <w:sz w:val="24"/>
          <w:szCs w:val="24"/>
        </w:rPr>
        <w:t>‐</w:t>
      </w:r>
      <w:r w:rsidRPr="00E663F4">
        <w:rPr>
          <w:rFonts w:ascii="Times New Roman" w:hAnsi="Times New Roman"/>
          <w:sz w:val="24"/>
          <w:szCs w:val="24"/>
        </w:rPr>
        <w:t>Dimensional Family Approach to Gender Nonconforming Children and their Families. Family Process, 2011;50(4):453-470.</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Menvielle E J, Tuerk C. A support group for parents of gender-nonconforming boys. Journal of the American Academy of Child &amp; Adolescent Psychiatry 2002;41(8):1010-1013. doi:10.1097/00004583–200208000–00021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Meyer IH. Prejudice as stress: Conceptual and measurement problems. American Journal of Public Health 2003;93(2):262-265.</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Meyer, IH. Minority stress and mental health in gay men. Journal of health and social behavior 1995;38-56.</w:t>
      </w:r>
    </w:p>
    <w:p w:rsidR="006F458A" w:rsidRPr="00E663F4" w:rsidRDefault="006F458A" w:rsidP="00352DE7">
      <w:pPr>
        <w:spacing w:line="240" w:lineRule="auto"/>
        <w:rPr>
          <w:rFonts w:ascii="Times New Roman" w:hAnsi="Times New Roman"/>
          <w:sz w:val="24"/>
          <w:szCs w:val="24"/>
        </w:rPr>
      </w:pPr>
      <w:r w:rsidRPr="00E663F4">
        <w:rPr>
          <w:rFonts w:ascii="Times New Roman" w:hAnsi="Times New Roman"/>
          <w:sz w:val="24"/>
          <w:szCs w:val="24"/>
        </w:rPr>
        <w:t xml:space="preserve">Meyer WJ III.  World Professional Association for Transgender Health’s </w:t>
      </w:r>
      <w:r w:rsidRPr="00E663F4">
        <w:rPr>
          <w:rFonts w:ascii="Times New Roman" w:hAnsi="Times New Roman"/>
          <w:i/>
          <w:sz w:val="24"/>
          <w:szCs w:val="24"/>
        </w:rPr>
        <w:t>S</w:t>
      </w:r>
      <w:r w:rsidRPr="00E663F4">
        <w:rPr>
          <w:rFonts w:ascii="Times New Roman" w:hAnsi="Times New Roman"/>
          <w:i/>
          <w:iCs/>
          <w:sz w:val="24"/>
          <w:szCs w:val="24"/>
        </w:rPr>
        <w:t xml:space="preserve">tandards of care </w:t>
      </w:r>
      <w:r w:rsidRPr="00E663F4">
        <w:rPr>
          <w:rFonts w:ascii="Times New Roman" w:hAnsi="Times New Roman"/>
          <w:sz w:val="24"/>
          <w:szCs w:val="24"/>
        </w:rPr>
        <w:t xml:space="preserve">requirements of hormone therapy for adults with gender identity disorder. </w:t>
      </w:r>
      <w:r w:rsidRPr="00E663F4">
        <w:rPr>
          <w:rFonts w:ascii="Times New Roman" w:hAnsi="Times New Roman"/>
          <w:iCs/>
          <w:sz w:val="24"/>
          <w:szCs w:val="24"/>
        </w:rPr>
        <w:t>International Journal of Transgenderism</w:t>
      </w:r>
      <w:r w:rsidRPr="00E663F4">
        <w:rPr>
          <w:rFonts w:ascii="Times New Roman" w:hAnsi="Times New Roman"/>
          <w:i/>
          <w:iCs/>
          <w:sz w:val="24"/>
          <w:szCs w:val="24"/>
        </w:rPr>
        <w:t xml:space="preserve"> 2009;11</w:t>
      </w:r>
      <w:r w:rsidRPr="00E663F4">
        <w:rPr>
          <w:rFonts w:ascii="Times New Roman" w:hAnsi="Times New Roman"/>
          <w:sz w:val="24"/>
          <w:szCs w:val="24"/>
        </w:rPr>
        <w:t xml:space="preserve">(2):127–132. doi:10.1080/15532730903008065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Meyer-Bahlburg HFL. From mental disorder to iatrogenic hypogonadism: Dilemmas in conceptualizing gender identity variants as psychiatric conditions. Archives of Sexual Behavior 2010;39(2):461-476. doi:10.1007/s10508–009–9532–4</w:t>
      </w:r>
    </w:p>
    <w:p w:rsidR="00DE7C55" w:rsidRPr="00E663F4" w:rsidRDefault="00DE7C55" w:rsidP="00352DE7">
      <w:pPr>
        <w:spacing w:line="240" w:lineRule="auto"/>
        <w:rPr>
          <w:rFonts w:ascii="Times New Roman" w:hAnsi="Times New Roman"/>
          <w:sz w:val="24"/>
          <w:szCs w:val="24"/>
        </w:rPr>
      </w:pPr>
      <w:r w:rsidRPr="00E663F4">
        <w:rPr>
          <w:rFonts w:ascii="Times New Roman" w:hAnsi="Times New Roman"/>
          <w:sz w:val="24"/>
          <w:szCs w:val="24"/>
        </w:rPr>
        <w:t xml:space="preserve">Moore E, Wisniewski A, Dobs A. Endocrine treatment of transsexual people: A review of treatment regimens, outcomes, and adverse effects. </w:t>
      </w:r>
      <w:r w:rsidRPr="00E663F4">
        <w:rPr>
          <w:rFonts w:ascii="Times New Roman" w:hAnsi="Times New Roman"/>
          <w:iCs/>
          <w:sz w:val="24"/>
          <w:szCs w:val="24"/>
        </w:rPr>
        <w:t xml:space="preserve">Journal of Clinical Endocrinology &amp; Metabolism </w:t>
      </w:r>
      <w:r w:rsidRPr="00E663F4">
        <w:rPr>
          <w:rFonts w:ascii="Times New Roman" w:hAnsi="Times New Roman"/>
          <w:sz w:val="24"/>
          <w:szCs w:val="24"/>
        </w:rPr>
        <w:t xml:space="preserve">2003; </w:t>
      </w:r>
      <w:r w:rsidRPr="00E663F4">
        <w:rPr>
          <w:rFonts w:ascii="Times New Roman" w:hAnsi="Times New Roman"/>
          <w:iCs/>
          <w:sz w:val="24"/>
          <w:szCs w:val="24"/>
        </w:rPr>
        <w:t>88</w:t>
      </w:r>
      <w:r w:rsidRPr="00E663F4">
        <w:rPr>
          <w:rFonts w:ascii="Times New Roman" w:hAnsi="Times New Roman"/>
          <w:sz w:val="24"/>
          <w:szCs w:val="24"/>
        </w:rPr>
        <w:t xml:space="preserve">(8):3467–3473. doi:10.1210/jc.2002–021967 </w:t>
      </w:r>
    </w:p>
    <w:p w:rsidR="006C450E" w:rsidRPr="00E663F4" w:rsidRDefault="006C450E" w:rsidP="00352DE7">
      <w:pPr>
        <w:spacing w:line="240" w:lineRule="auto"/>
        <w:rPr>
          <w:rFonts w:ascii="Times New Roman" w:hAnsi="Times New Roman"/>
          <w:sz w:val="24"/>
          <w:szCs w:val="24"/>
        </w:rPr>
      </w:pPr>
      <w:r w:rsidRPr="00E663F4">
        <w:rPr>
          <w:rFonts w:ascii="Times New Roman" w:hAnsi="Times New Roman"/>
          <w:sz w:val="24"/>
          <w:szCs w:val="24"/>
        </w:rPr>
        <w:t xml:space="preserve">Mueller A, Kiesewetter F, Binder H, Beckmann MW, Dittrich R. Long-term administration of testosterone undecanoate every 3 months for testosterone supplementation in female-to-male </w:t>
      </w:r>
      <w:r w:rsidRPr="00E663F4">
        <w:rPr>
          <w:rFonts w:ascii="Times New Roman" w:hAnsi="Times New Roman"/>
          <w:sz w:val="24"/>
          <w:szCs w:val="24"/>
        </w:rPr>
        <w:lastRenderedPageBreak/>
        <w:t xml:space="preserve">transsexuals. </w:t>
      </w:r>
      <w:r w:rsidRPr="00E663F4">
        <w:rPr>
          <w:rFonts w:ascii="Times New Roman" w:hAnsi="Times New Roman"/>
          <w:iCs/>
          <w:sz w:val="24"/>
          <w:szCs w:val="24"/>
        </w:rPr>
        <w:t>Journal of Clinical Endocrinology &amp; Metabolism</w:t>
      </w:r>
      <w:r w:rsidRPr="00E663F4">
        <w:rPr>
          <w:rFonts w:ascii="Times New Roman" w:hAnsi="Times New Roman"/>
          <w:sz w:val="24"/>
          <w:szCs w:val="24"/>
        </w:rPr>
        <w:t xml:space="preserve"> 2007;</w:t>
      </w:r>
      <w:r w:rsidRPr="00E663F4">
        <w:rPr>
          <w:rFonts w:ascii="Times New Roman" w:hAnsi="Times New Roman"/>
          <w:iCs/>
          <w:sz w:val="24"/>
          <w:szCs w:val="24"/>
        </w:rPr>
        <w:t>92</w:t>
      </w:r>
      <w:r w:rsidRPr="00E663F4">
        <w:rPr>
          <w:rFonts w:ascii="Times New Roman" w:hAnsi="Times New Roman"/>
          <w:sz w:val="24"/>
          <w:szCs w:val="24"/>
        </w:rPr>
        <w:t xml:space="preserve">(9):3470–3475. doi:10.1210/jc.2007–0746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Murad MH, Elamin MB, Garcia MZ, Mullan RJ, Murad A, Erwin PJ, Montori VM. Hormonal therapy and sex reassignment: A systematic review and meta-analysis of quality of life and psychosocial outcomes. Clinical Endocrinology 2010;72(2):214-231. doi:10.1111/j.1365–2265.2009.03625.x </w:t>
      </w:r>
    </w:p>
    <w:p w:rsidR="006F458A" w:rsidRPr="00E663F4" w:rsidRDefault="006F458A" w:rsidP="00352DE7">
      <w:pPr>
        <w:spacing w:line="240" w:lineRule="auto"/>
        <w:rPr>
          <w:rFonts w:ascii="Times New Roman" w:hAnsi="Times New Roman"/>
          <w:sz w:val="24"/>
          <w:szCs w:val="24"/>
        </w:rPr>
      </w:pPr>
      <w:r w:rsidRPr="00E663F4">
        <w:rPr>
          <w:rFonts w:ascii="Times New Roman" w:hAnsi="Times New Roman"/>
          <w:sz w:val="24"/>
          <w:szCs w:val="24"/>
        </w:rPr>
        <w:t>Newfield E,  Hart S, Dibble S, Kohler L. Female-to-male transgender quality of life. Quality of Life Research 2006; 15;1447-1457.</w:t>
      </w:r>
    </w:p>
    <w:p w:rsidR="006C450E" w:rsidRPr="00E663F4" w:rsidRDefault="006C450E" w:rsidP="00352DE7">
      <w:pPr>
        <w:spacing w:line="240" w:lineRule="auto"/>
        <w:rPr>
          <w:rFonts w:ascii="Times New Roman" w:hAnsi="Times New Roman"/>
          <w:sz w:val="24"/>
          <w:szCs w:val="24"/>
        </w:rPr>
      </w:pPr>
      <w:r w:rsidRPr="00E663F4">
        <w:rPr>
          <w:rFonts w:ascii="Times New Roman" w:hAnsi="Times New Roman"/>
          <w:sz w:val="24"/>
          <w:szCs w:val="24"/>
        </w:rPr>
        <w:t xml:space="preserve">Nieschlag E, Behre HM, Bouchard P, Corrales JJ, Jones TH, Stalla GK, . . . Wu FCW. Testosterone replacement therapy: Current trends and future directions. </w:t>
      </w:r>
      <w:r w:rsidRPr="00E663F4">
        <w:rPr>
          <w:rFonts w:ascii="Times New Roman" w:hAnsi="Times New Roman"/>
          <w:iCs/>
          <w:sz w:val="24"/>
          <w:szCs w:val="24"/>
        </w:rPr>
        <w:t>Human Reproduction Update</w:t>
      </w:r>
      <w:r w:rsidRPr="00E663F4">
        <w:rPr>
          <w:rFonts w:ascii="Times New Roman" w:hAnsi="Times New Roman"/>
          <w:sz w:val="24"/>
          <w:szCs w:val="24"/>
        </w:rPr>
        <w:t xml:space="preserve"> 2004;</w:t>
      </w:r>
      <w:r w:rsidRPr="00E663F4">
        <w:rPr>
          <w:rFonts w:ascii="Times New Roman" w:hAnsi="Times New Roman"/>
          <w:iCs/>
          <w:sz w:val="24"/>
          <w:szCs w:val="24"/>
        </w:rPr>
        <w:t>10</w:t>
      </w:r>
      <w:r w:rsidRPr="00E663F4">
        <w:rPr>
          <w:rFonts w:ascii="Times New Roman" w:hAnsi="Times New Roman"/>
          <w:sz w:val="24"/>
          <w:szCs w:val="24"/>
        </w:rPr>
        <w:t xml:space="preserve">(5):409–419. doi:10.1093/humupd/dmh035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Nuttbrock L, Hwahng S, Bockting W, Rosenblum A, Mason M, Macri M, Becker, J. Psychiatric impact of gender-related abuse across the life course of male-to-female transgender persons. Journal of Sex Research 2010;47(1):12-23. doi:10.1080/00224490903062258 </w:t>
      </w:r>
    </w:p>
    <w:p w:rsidR="006C450E" w:rsidRPr="00E663F4" w:rsidRDefault="006C450E" w:rsidP="00352DE7">
      <w:pPr>
        <w:spacing w:line="240" w:lineRule="auto"/>
        <w:rPr>
          <w:rFonts w:ascii="Times New Roman" w:hAnsi="Times New Roman"/>
          <w:sz w:val="24"/>
          <w:szCs w:val="24"/>
        </w:rPr>
      </w:pPr>
      <w:r w:rsidRPr="00E663F4">
        <w:rPr>
          <w:rFonts w:ascii="Times New Roman" w:hAnsi="Times New Roman"/>
          <w:sz w:val="24"/>
          <w:szCs w:val="24"/>
        </w:rPr>
        <w:t xml:space="preserve">Oriel KA. Clinical update: Medical care of transsexual patients. </w:t>
      </w:r>
      <w:r w:rsidRPr="00E663F4">
        <w:rPr>
          <w:rFonts w:ascii="Times New Roman" w:hAnsi="Times New Roman"/>
          <w:iCs/>
          <w:sz w:val="24"/>
          <w:szCs w:val="24"/>
        </w:rPr>
        <w:t xml:space="preserve">Journal of the Gay and Lesbian Medical Association </w:t>
      </w:r>
      <w:r w:rsidRPr="00E663F4">
        <w:rPr>
          <w:rFonts w:ascii="Times New Roman" w:hAnsi="Times New Roman"/>
          <w:sz w:val="24"/>
          <w:szCs w:val="24"/>
        </w:rPr>
        <w:t>2000;</w:t>
      </w:r>
      <w:r w:rsidRPr="00E663F4">
        <w:rPr>
          <w:rFonts w:ascii="Times New Roman" w:hAnsi="Times New Roman"/>
          <w:iCs/>
          <w:sz w:val="24"/>
          <w:szCs w:val="24"/>
        </w:rPr>
        <w:t>4</w:t>
      </w:r>
      <w:r w:rsidRPr="00E663F4">
        <w:rPr>
          <w:rFonts w:ascii="Times New Roman" w:hAnsi="Times New Roman"/>
          <w:sz w:val="24"/>
          <w:szCs w:val="24"/>
        </w:rPr>
        <w:t xml:space="preserve">(4):185–194. doi:1090–7173/00/1200–0185$18.00/1 </w:t>
      </w:r>
    </w:p>
    <w:p w:rsidR="006C450E" w:rsidRPr="00E663F4" w:rsidRDefault="006C450E" w:rsidP="00352DE7">
      <w:pPr>
        <w:spacing w:line="240" w:lineRule="auto"/>
        <w:rPr>
          <w:rFonts w:ascii="Times New Roman" w:hAnsi="Times New Roman"/>
          <w:sz w:val="24"/>
          <w:szCs w:val="24"/>
        </w:rPr>
      </w:pPr>
      <w:r w:rsidRPr="00E663F4">
        <w:rPr>
          <w:rFonts w:ascii="Times New Roman" w:hAnsi="Times New Roman"/>
          <w:sz w:val="24"/>
          <w:szCs w:val="24"/>
        </w:rPr>
        <w:t xml:space="preserve">Prior JC, Vigna YM, Watson D, Diewold P, Robinow O. Spironolactone in the presurgical therapy of male to female transsexuals: Philosophy and experience of the Vancouver Gender Dysphoria Clinic. </w:t>
      </w:r>
      <w:r w:rsidRPr="00E663F4">
        <w:rPr>
          <w:rFonts w:ascii="Times New Roman" w:hAnsi="Times New Roman"/>
          <w:iCs/>
          <w:sz w:val="24"/>
          <w:szCs w:val="24"/>
        </w:rPr>
        <w:t>Journal of Sex Information &amp; Education Council of Canada</w:t>
      </w:r>
      <w:r w:rsidRPr="00E663F4">
        <w:rPr>
          <w:rFonts w:ascii="Times New Roman" w:hAnsi="Times New Roman"/>
          <w:sz w:val="24"/>
          <w:szCs w:val="24"/>
        </w:rPr>
        <w:t xml:space="preserve"> 1986;</w:t>
      </w:r>
      <w:r w:rsidRPr="00E663F4">
        <w:rPr>
          <w:rFonts w:ascii="Times New Roman" w:hAnsi="Times New Roman"/>
          <w:iCs/>
          <w:sz w:val="24"/>
          <w:szCs w:val="24"/>
        </w:rPr>
        <w:t>1:</w:t>
      </w:r>
      <w:r w:rsidRPr="00E663F4">
        <w:rPr>
          <w:rFonts w:ascii="Times New Roman" w:hAnsi="Times New Roman"/>
          <w:sz w:val="24"/>
          <w:szCs w:val="24"/>
        </w:rPr>
        <w:t xml:space="preserve">1–7.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Rachlin K, Green J, Lombardi E. Utilization of health care among female-to-male transgender individuals in the United States. Journal of Homosexuality 2008; 54(3):243-258. doi:10.1080/00918360801982124</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Rachlin K, Hansbury G, Pardo ST. Hysterectomy and oophorectomy experiences of female-to-male transgender individuals. International Journal of Transgenderism 2010;12(3): 155-166. doi:10.1080/15532739.2010.514220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Rachlin K. Factors which influence individual’s decisions when considering female-to-male genital reconstructive surgery. International Journal of Transgenderism 1999;3(3). Preuzeto s http://www.WPATH.org </w:t>
      </w:r>
    </w:p>
    <w:p w:rsidR="00BF5979" w:rsidRPr="00E663F4" w:rsidRDefault="00DE7C55" w:rsidP="00352DE7">
      <w:pPr>
        <w:spacing w:line="240" w:lineRule="auto"/>
        <w:rPr>
          <w:rFonts w:ascii="Times New Roman" w:hAnsi="Times New Roman"/>
          <w:sz w:val="24"/>
          <w:szCs w:val="24"/>
        </w:rPr>
      </w:pPr>
      <w:r w:rsidRPr="00E663F4">
        <w:rPr>
          <w:rFonts w:ascii="Times New Roman" w:hAnsi="Times New Roman"/>
          <w:sz w:val="24"/>
          <w:szCs w:val="24"/>
        </w:rPr>
        <w:t>R</w:t>
      </w:r>
      <w:r w:rsidR="00BF5979" w:rsidRPr="00E663F4">
        <w:rPr>
          <w:rFonts w:ascii="Times New Roman" w:hAnsi="Times New Roman"/>
          <w:sz w:val="24"/>
          <w:szCs w:val="24"/>
        </w:rPr>
        <w:t>ichards C, Arcelus J, Barrett J, Bouman WP, Lenihan P, Lorimer S, Murjan S, Seal, L. Trans is not a disorder–but should still receive funding. Sexual and Relationship Therapy 2015;30(3):309-313.</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Riggs DW, Ansara GY, Treharne GJ. An Evidence</w:t>
      </w:r>
      <w:r w:rsidRPr="00E663F4">
        <w:rPr>
          <w:rFonts w:ascii="Cambria Math" w:hAnsi="Cambria Math" w:cs="Cambria Math"/>
          <w:sz w:val="24"/>
          <w:szCs w:val="24"/>
        </w:rPr>
        <w:t>‐</w:t>
      </w:r>
      <w:r w:rsidRPr="00E663F4">
        <w:rPr>
          <w:rFonts w:ascii="Times New Roman" w:hAnsi="Times New Roman"/>
          <w:sz w:val="24"/>
          <w:szCs w:val="24"/>
        </w:rPr>
        <w:t xml:space="preserve">Based Model for Understanding the Mental Health Experiences of Transgender Australians. Australian Psychologist 2015;50(1):32-39.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Rosenberg M. Children with gender identity issues and their parents in individual and group treatment. Journal of the American Academy of Child and Adolescent Psychiatry 2002;41(5):619-621. doi:10.1097/00004583–200205000–00020 </w:t>
      </w:r>
    </w:p>
    <w:p w:rsidR="006C450E" w:rsidRPr="00E663F4" w:rsidRDefault="006C450E" w:rsidP="00352DE7">
      <w:pPr>
        <w:spacing w:line="240" w:lineRule="auto"/>
        <w:rPr>
          <w:rFonts w:ascii="Times New Roman" w:hAnsi="Times New Roman"/>
          <w:sz w:val="24"/>
          <w:szCs w:val="24"/>
        </w:rPr>
      </w:pPr>
      <w:r w:rsidRPr="00E663F4">
        <w:rPr>
          <w:rFonts w:ascii="Times New Roman" w:hAnsi="Times New Roman"/>
          <w:sz w:val="24"/>
          <w:szCs w:val="24"/>
        </w:rPr>
        <w:t xml:space="preserve">Rossouw JE, Anderson GL, Prentice RL, LaCroix AZ, Kooperberg C, Stefanick ML, . . . Johnson KC. Risks and benefits of estrogen plus progestin in healthy postmenopausal women: </w:t>
      </w:r>
      <w:r w:rsidRPr="00E663F4">
        <w:rPr>
          <w:rFonts w:ascii="Times New Roman" w:hAnsi="Times New Roman"/>
          <w:sz w:val="24"/>
          <w:szCs w:val="24"/>
        </w:rPr>
        <w:lastRenderedPageBreak/>
        <w:t xml:space="preserve">Principal results from the women’s health initiative randomized controlled trial. </w:t>
      </w:r>
      <w:r w:rsidRPr="00E663F4">
        <w:rPr>
          <w:rFonts w:ascii="Times New Roman" w:hAnsi="Times New Roman"/>
          <w:iCs/>
          <w:sz w:val="24"/>
          <w:szCs w:val="24"/>
        </w:rPr>
        <w:t>JAMA: The Journal of the American Medical Association</w:t>
      </w:r>
      <w:r w:rsidRPr="00E663F4">
        <w:rPr>
          <w:rFonts w:ascii="Times New Roman" w:hAnsi="Times New Roman"/>
          <w:sz w:val="24"/>
          <w:szCs w:val="24"/>
        </w:rPr>
        <w:t xml:space="preserve"> 2002</w:t>
      </w:r>
      <w:r w:rsidRPr="00E663F4">
        <w:rPr>
          <w:rFonts w:ascii="Times New Roman" w:hAnsi="Times New Roman"/>
          <w:iCs/>
          <w:sz w:val="24"/>
          <w:szCs w:val="24"/>
        </w:rPr>
        <w:t>;288</w:t>
      </w:r>
      <w:r w:rsidRPr="00E663F4">
        <w:rPr>
          <w:rFonts w:ascii="Times New Roman" w:hAnsi="Times New Roman"/>
          <w:sz w:val="24"/>
          <w:szCs w:val="24"/>
        </w:rPr>
        <w:t xml:space="preserve">(3):321–333.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Smith YLS, Van Goozen SHM, Kuiper AJ, Cohen-Kettenis PT. Sex reassignment: Outcomes and predictors of treatment for adolescent and adult transsexuals. Psychological Medicine 2005;35(1):89-99. doi:10.1017/S0033291704002776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Spack NP, Edwards-Leeper L, Feldman HA, Leibowitz S, Mandel F, Diamond DA, Vance SR. Children and Adolescents With Gender Identity Disorder Referred to a Pediatric Medical Center. Pediatrics 2012;129(3):418-425.</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Steensma TD, Cohen-Kettenis PT. Gender transitioning before puberty? Archives of Sexual Behavior 2011;40(4):649-650. doi:10.1007/s10508–011–9752–2 </w:t>
      </w:r>
    </w:p>
    <w:p w:rsidR="00352DE7" w:rsidRPr="00E663F4" w:rsidRDefault="00352DE7" w:rsidP="00352DE7">
      <w:pPr>
        <w:spacing w:line="240" w:lineRule="auto"/>
        <w:rPr>
          <w:rFonts w:ascii="Times New Roman" w:hAnsi="Times New Roman"/>
          <w:sz w:val="24"/>
          <w:szCs w:val="24"/>
        </w:rPr>
      </w:pPr>
      <w:r w:rsidRPr="00E663F4">
        <w:rPr>
          <w:rFonts w:ascii="Times New Roman" w:hAnsi="Times New Roman"/>
          <w:sz w:val="24"/>
          <w:szCs w:val="24"/>
        </w:rPr>
        <w:t xml:space="preserve">Tangpricha V, Ducharme SH, Barber TW, Chipkin SR. Endocrinologic treatment of gender identity disorders. </w:t>
      </w:r>
      <w:r w:rsidRPr="00E663F4">
        <w:rPr>
          <w:rFonts w:ascii="Times New Roman" w:hAnsi="Times New Roman"/>
          <w:iCs/>
          <w:sz w:val="24"/>
          <w:szCs w:val="24"/>
        </w:rPr>
        <w:t xml:space="preserve">Endocrine Practice </w:t>
      </w:r>
      <w:r w:rsidRPr="00E663F4">
        <w:rPr>
          <w:rFonts w:ascii="Times New Roman" w:hAnsi="Times New Roman"/>
          <w:sz w:val="24"/>
          <w:szCs w:val="24"/>
        </w:rPr>
        <w:t>2003</w:t>
      </w:r>
      <w:r w:rsidRPr="00E663F4">
        <w:rPr>
          <w:rFonts w:ascii="Times New Roman" w:hAnsi="Times New Roman"/>
          <w:i/>
          <w:iCs/>
          <w:sz w:val="24"/>
          <w:szCs w:val="24"/>
        </w:rPr>
        <w:t>;9</w:t>
      </w:r>
      <w:r w:rsidRPr="00E663F4">
        <w:rPr>
          <w:rFonts w:ascii="Times New Roman" w:hAnsi="Times New Roman"/>
          <w:sz w:val="24"/>
          <w:szCs w:val="24"/>
        </w:rPr>
        <w:t xml:space="preserve">(1):12–21.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Vanderburgh R. Appropriate therapeutic care for families with pre-pubescent transgender/gender-dissonant children. Child and Adolescent Social Work Journal 2009;26(2):135-154. doi:10.1007/s10560–008–0158–5</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Veale JF. The prevalence of transsexualism among New Zealand passport holders. Australian and New Zealand Journal of Psychiatry 2008;42(10):887-889.</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Vujović S, Popović S, Sbutega</w:t>
      </w:r>
      <w:r w:rsidRPr="00E663F4">
        <w:rPr>
          <w:rFonts w:ascii="Cambria Math" w:hAnsi="Cambria Math" w:cs="Cambria Math"/>
          <w:sz w:val="24"/>
          <w:szCs w:val="24"/>
        </w:rPr>
        <w:t>‐</w:t>
      </w:r>
      <w:r w:rsidRPr="00E663F4">
        <w:rPr>
          <w:rFonts w:ascii="Times New Roman" w:hAnsi="Times New Roman"/>
          <w:sz w:val="24"/>
          <w:szCs w:val="24"/>
        </w:rPr>
        <w:t>Milošević G, Đorđević M, Gooren L. Transsexualism in Serbia: A Twenty</w:t>
      </w:r>
      <w:r w:rsidRPr="00E663F4">
        <w:rPr>
          <w:rFonts w:ascii="Cambria Math" w:hAnsi="Cambria Math" w:cs="Cambria Math"/>
          <w:sz w:val="24"/>
          <w:szCs w:val="24"/>
        </w:rPr>
        <w:t>‐</w:t>
      </w:r>
      <w:r w:rsidRPr="00E663F4">
        <w:rPr>
          <w:rFonts w:ascii="Times New Roman" w:hAnsi="Times New Roman"/>
          <w:sz w:val="24"/>
          <w:szCs w:val="24"/>
        </w:rPr>
        <w:t>Year Follow</w:t>
      </w:r>
      <w:r w:rsidRPr="00E663F4">
        <w:rPr>
          <w:rFonts w:ascii="Cambria Math" w:hAnsi="Cambria Math" w:cs="Cambria Math"/>
          <w:sz w:val="24"/>
          <w:szCs w:val="24"/>
        </w:rPr>
        <w:t>‐</w:t>
      </w:r>
      <w:r w:rsidRPr="00E663F4">
        <w:rPr>
          <w:rFonts w:ascii="Times New Roman" w:hAnsi="Times New Roman"/>
          <w:sz w:val="24"/>
          <w:szCs w:val="24"/>
        </w:rPr>
        <w:t>Up Study. The journal of sexual medicine 2009;6(4):1018-1023.</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 Wallien MSC, Cohen-Kettenis PT. Psychosexual outcome of gender-dysphoric children. Journal of the American Academy of Child &amp; Adolescent Psychiatry 2008;47(12):1413-1423. doi:10.1097/CHI.0b013e31818956b9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Wallien MSC, Swaab H, Cohen-Kettenis PT. Psychiatric comorbidity among children with gender identity disorder. Journal of the American Academy of Child &amp; Adolescent Psychiatry 2007;46(10):1307-1314. doi:10.1097/chi.0b013e3181373848</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White T, Ettner R. Adaptation and adjustment in children of transsexual parents. European child &amp; adolescent psychiatry 2007;16(4):215-221.</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Zakon o medicinski pomognutoj oplodnji. NN 86/12</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Zucker KJ, Bradley SJ, Sanikhani M. Sex differences in referral rates of children with gender identity disorder: Some hypotheses. Journal of Abnormal Child Psychology 1997;25(3):217-227. </w:t>
      </w:r>
    </w:p>
    <w:p w:rsidR="00BF5979" w:rsidRPr="00E663F4" w:rsidRDefault="00BF5979" w:rsidP="00352DE7">
      <w:pPr>
        <w:spacing w:line="240" w:lineRule="auto"/>
        <w:rPr>
          <w:rFonts w:ascii="Times New Roman" w:hAnsi="Times New Roman"/>
          <w:sz w:val="24"/>
          <w:szCs w:val="24"/>
        </w:rPr>
      </w:pPr>
      <w:r w:rsidRPr="00E663F4">
        <w:rPr>
          <w:rFonts w:ascii="Times New Roman" w:hAnsi="Times New Roman"/>
          <w:sz w:val="24"/>
          <w:szCs w:val="24"/>
        </w:rPr>
        <w:t xml:space="preserve">Zucker KJ. I’m half-boy, half-girl. Play psychotherapy and parent counseling for gender identity disorder. U: Spitzer RL, First MB, Williams JBW, Gibbons M.(ur.) DSM-IV-TR casebook, volume 2 (str. 321-334). Arlington, VA: American Psychiatric Publishing, 2006. </w:t>
      </w:r>
    </w:p>
    <w:p w:rsidR="003E126E" w:rsidRPr="00E663F4" w:rsidRDefault="003E126E">
      <w:pPr>
        <w:spacing w:after="0" w:line="240" w:lineRule="auto"/>
        <w:rPr>
          <w:rFonts w:ascii="Times New Roman" w:hAnsi="Times New Roman"/>
          <w:sz w:val="24"/>
          <w:szCs w:val="24"/>
        </w:rPr>
      </w:pPr>
      <w:r w:rsidRPr="00E663F4">
        <w:rPr>
          <w:rFonts w:ascii="Times New Roman" w:hAnsi="Times New Roman"/>
          <w:sz w:val="24"/>
          <w:szCs w:val="24"/>
        </w:rPr>
        <w:br w:type="page"/>
      </w:r>
    </w:p>
    <w:p w:rsidR="00B930C9" w:rsidRPr="00E663F4" w:rsidRDefault="003E126E" w:rsidP="003E126E">
      <w:pPr>
        <w:pStyle w:val="Naslov1"/>
        <w:rPr>
          <w:rFonts w:ascii="Times New Roman" w:hAnsi="Times New Roman"/>
          <w:sz w:val="24"/>
          <w:szCs w:val="24"/>
        </w:rPr>
      </w:pPr>
      <w:r w:rsidRPr="00E663F4">
        <w:rPr>
          <w:rFonts w:ascii="Times New Roman" w:hAnsi="Times New Roman"/>
          <w:sz w:val="24"/>
          <w:szCs w:val="24"/>
        </w:rPr>
        <w:lastRenderedPageBreak/>
        <w:t xml:space="preserve">Prilog 1. </w:t>
      </w:r>
      <w:r w:rsidR="00B930C9" w:rsidRPr="00E663F4">
        <w:rPr>
          <w:rFonts w:ascii="Times New Roman" w:hAnsi="Times New Roman"/>
          <w:sz w:val="24"/>
          <w:szCs w:val="24"/>
        </w:rPr>
        <w:t>Primjeri informiranih pristanaka za hormonalno liječenje</w:t>
      </w:r>
    </w:p>
    <w:p w:rsidR="00B443A1" w:rsidRDefault="00B443A1" w:rsidP="00B930C9">
      <w:pPr>
        <w:rPr>
          <w:rFonts w:ascii="Times New Roman" w:hAnsi="Times New Roman"/>
          <w:b/>
          <w:sz w:val="24"/>
          <w:szCs w:val="24"/>
        </w:rPr>
      </w:pPr>
    </w:p>
    <w:p w:rsidR="00B930C9" w:rsidRPr="00E663F4" w:rsidRDefault="00B930C9" w:rsidP="00B930C9">
      <w:pPr>
        <w:rPr>
          <w:rFonts w:ascii="Times New Roman" w:hAnsi="Times New Roman"/>
          <w:b/>
          <w:sz w:val="24"/>
          <w:szCs w:val="24"/>
        </w:rPr>
      </w:pPr>
      <w:r w:rsidRPr="00E663F4">
        <w:rPr>
          <w:rFonts w:ascii="Times New Roman" w:hAnsi="Times New Roman"/>
          <w:b/>
          <w:sz w:val="24"/>
          <w:szCs w:val="24"/>
        </w:rPr>
        <w:t>_________________________________</w:t>
      </w:r>
    </w:p>
    <w:p w:rsidR="00B930C9" w:rsidRPr="00E663F4" w:rsidRDefault="00B930C9" w:rsidP="00B930C9">
      <w:pPr>
        <w:rPr>
          <w:rFonts w:ascii="Times New Roman" w:hAnsi="Times New Roman"/>
          <w:b/>
          <w:sz w:val="24"/>
          <w:szCs w:val="24"/>
        </w:rPr>
      </w:pPr>
      <w:r w:rsidRPr="00E663F4">
        <w:rPr>
          <w:rFonts w:ascii="Times New Roman" w:hAnsi="Times New Roman"/>
          <w:b/>
          <w:sz w:val="24"/>
          <w:szCs w:val="24"/>
        </w:rPr>
        <w:t>( ime i prezime podnositelja zahtjeva )</w:t>
      </w:r>
    </w:p>
    <w:p w:rsidR="00B930C9" w:rsidRPr="00E663F4" w:rsidRDefault="00B930C9" w:rsidP="00B930C9">
      <w:pPr>
        <w:rPr>
          <w:rFonts w:ascii="Times New Roman" w:hAnsi="Times New Roman"/>
          <w:b/>
          <w:sz w:val="24"/>
          <w:szCs w:val="24"/>
        </w:rPr>
      </w:pPr>
      <w:r w:rsidRPr="00E663F4">
        <w:rPr>
          <w:rFonts w:ascii="Times New Roman" w:hAnsi="Times New Roman"/>
          <w:b/>
          <w:sz w:val="24"/>
          <w:szCs w:val="24"/>
        </w:rPr>
        <w:t>__________________________________</w:t>
      </w:r>
    </w:p>
    <w:p w:rsidR="00B930C9" w:rsidRPr="00E663F4" w:rsidRDefault="00B930C9" w:rsidP="00B930C9">
      <w:pPr>
        <w:rPr>
          <w:rFonts w:ascii="Times New Roman" w:hAnsi="Times New Roman"/>
          <w:b/>
          <w:sz w:val="24"/>
          <w:szCs w:val="24"/>
        </w:rPr>
      </w:pPr>
      <w:r w:rsidRPr="00E663F4">
        <w:rPr>
          <w:rFonts w:ascii="Times New Roman" w:hAnsi="Times New Roman"/>
          <w:b/>
          <w:sz w:val="24"/>
          <w:szCs w:val="24"/>
        </w:rPr>
        <w:t>( adresa )</w:t>
      </w:r>
    </w:p>
    <w:p w:rsidR="00B930C9" w:rsidRPr="00E663F4" w:rsidRDefault="00B930C9" w:rsidP="00B930C9">
      <w:pPr>
        <w:rPr>
          <w:rFonts w:ascii="Times New Roman" w:hAnsi="Times New Roman"/>
          <w:b/>
          <w:sz w:val="24"/>
          <w:szCs w:val="24"/>
        </w:rPr>
      </w:pPr>
      <w:r w:rsidRPr="00E663F4">
        <w:rPr>
          <w:rFonts w:ascii="Times New Roman" w:hAnsi="Times New Roman"/>
          <w:b/>
          <w:sz w:val="24"/>
          <w:szCs w:val="24"/>
        </w:rPr>
        <w:t>ustanova</w:t>
      </w:r>
    </w:p>
    <w:p w:rsidR="00B930C9" w:rsidRPr="00E663F4" w:rsidRDefault="00B930C9" w:rsidP="00B930C9">
      <w:pPr>
        <w:rPr>
          <w:rFonts w:ascii="Times New Roman" w:hAnsi="Times New Roman"/>
          <w:b/>
          <w:sz w:val="24"/>
          <w:szCs w:val="24"/>
        </w:rPr>
      </w:pPr>
    </w:p>
    <w:p w:rsidR="00B930C9" w:rsidRPr="00E663F4" w:rsidRDefault="00B930C9" w:rsidP="00BC24A2">
      <w:pPr>
        <w:jc w:val="both"/>
        <w:rPr>
          <w:rFonts w:ascii="Times New Roman" w:hAnsi="Times New Roman"/>
          <w:b/>
          <w:sz w:val="24"/>
          <w:szCs w:val="24"/>
        </w:rPr>
      </w:pPr>
      <w:r w:rsidRPr="00E663F4">
        <w:rPr>
          <w:rFonts w:ascii="Times New Roman" w:hAnsi="Times New Roman"/>
          <w:b/>
          <w:sz w:val="24"/>
          <w:szCs w:val="24"/>
        </w:rPr>
        <w:t>Predmet: Informirani pristanak na terapiju estrogenima/ antiandrogenima kod tranzicije iz muškog prema ženskom spolu</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Ovaj dokument je namijenjen osobama koje žele hormonalnu terapiju u svrhu postizanja tranzicije iz muškog prema ženskom spolu.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Hormonalno liječenje je dio složenog postupka tranzicije iz muškog u ženski spol. Započinjanje procesa se indicira psihijatrijskim i psihološkim pregledom, kojim se dijagnosticira poremećaj rodnog identiteta ( F 64 po klasifikaciji bolesti Svjetske zdravstvene organizacije, X revizija ). Uz preporuku psihijatra i psihologa, ukoliko nema kontraindikacija za primjenu estrogena i antiandrogena, započinje se hormonalno se liječenje, koje se koristi tijekom najmanje godinu dana pred eventualnu odluku o eventualnom operativnom zahvatu na dojkama, odnosno spolnim organima.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Uspješno hormonalno liječenje ne mora nužno biti popraćeno korektivnom operativnim zahvatom.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Hormonalno liječenje uključuje primjenu antiandrogena ( lijekova kojima je svrha smanjiti proizvodnju muških spolnih hormona ), te estrogena  ( ženskih spolnih hormona ).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Primjena obje kategorije lijekova može imati trajne i prolazne posljedice.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U trajne posljedice spada povećanje dojki, smanjenje plodnosti, te promjene u ponašanju koje su uvjetovane hormonalnom terapijom.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Povećanje dojki je proces koji traje nekoliko godina, razmjer procesa povećanja dojki nije moguće predvidjeti unaprijed. U slučaju prestanka uzimanja estrogena, doći će do smanjenja dojki, no vjerojatno ne na ishodišnje stanje.</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Promjene u ponašanju uključuju smanjenje spolne želje, ali i moguć razvoj depresije.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Uslijed hormonalne terapije dolazi i do trajnih posljedica po funkciju muških spolnih žlijezda, koje mogu uključivati smanjenje veličine testisa, smanjenje proizvodnje testosterona, smanjenje broja, čvrstoće i dužine trajanja erekcija, pad proizvodnje spermatozoida do potpunog izostanka proizvodnje muških spolnih stanica što za posljedicu ima neplodnost. Ove </w:t>
      </w:r>
      <w:r w:rsidRPr="00E663F4">
        <w:rPr>
          <w:rFonts w:ascii="Times New Roman" w:hAnsi="Times New Roman"/>
          <w:sz w:val="24"/>
          <w:szCs w:val="24"/>
        </w:rPr>
        <w:lastRenderedPageBreak/>
        <w:t xml:space="preserve">posljedice mogu biti trajne. S druge strane, ovaj vid hormonalnog liječenja nije kontracepcija i ne može se predvidjeti da li će doći do potpunog prestanka proizvodnje spermatozoida u testisima.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Netrajne posljedice su – smanjenje težine akni, usporavanje ili prestanak gubitka kose po muškom tipu, omekšanje kože, smanjivanje tjelesne dlakavosti, te preraspodjela masnog tkiva u tijelu prema ženskom tipu, te pad razine crvenih krvnih stanica i slabije podnošenje fizičkih napora, kao i promjena mirisa tijela.</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Opisane nuspojave hormonalnog liječenja uključuju tomboembolijske incidente, moždani udar, te smrtni ishod, pogotovo kod osoba koje puše i starije su od 35 godina. U moguće nuspojave spada i povišenje krvnog tlaka, oštećenje jetre, migrena, mučnina i povraćanje, te razvoj karcinoma koji su ovisni o ženskim spolnim hormonima ( karcinom dojke ).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Podaci za koronarnu srčanu bolest nisu jednoznačni.</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Hormonalna terapija može dovesti do poboljšanja profila masnoća u krvi ( porasta razine HDL kolesterola i pada LDL kolesterola ), te djeluje preventivno na pojavu karcinoma prostate, premda se savjetuje godišnji pregled prostate kod osoba iznad 50. godine života.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Zbog navedenih razloga, hormonalno liječenje mora biti individualno određeno i praćeno, a prema potrebi i prekinuto iz medicinskih razloga.</w:t>
      </w:r>
    </w:p>
    <w:p w:rsidR="00B930C9" w:rsidRPr="00E663F4" w:rsidRDefault="007E1AA2" w:rsidP="00BC24A2">
      <w:pPr>
        <w:jc w:val="both"/>
        <w:rPr>
          <w:rFonts w:ascii="Times New Roman" w:hAnsi="Times New Roman"/>
          <w:sz w:val="24"/>
          <w:szCs w:val="24"/>
        </w:rPr>
      </w:pPr>
      <w:r>
        <w:rPr>
          <w:rFonts w:ascii="Times New Roman" w:hAnsi="Times New Roman"/>
          <w:sz w:val="24"/>
          <w:szCs w:val="24"/>
        </w:rPr>
        <w:t>Prema trenutno važe</w:t>
      </w:r>
      <w:r w:rsidR="00B930C9" w:rsidRPr="00E663F4">
        <w:rPr>
          <w:rFonts w:ascii="Times New Roman" w:hAnsi="Times New Roman"/>
          <w:sz w:val="24"/>
          <w:szCs w:val="24"/>
        </w:rPr>
        <w:t xml:space="preserve">ćim propisima, nije predviđeno financiranje ovog vida hormonalne terapije iz sredstava HZZO-a.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Na meni razumljiv način upoznat/a sam od strane liječnika dr. </w:t>
      </w:r>
      <w:r w:rsidRPr="00E663F4">
        <w:rPr>
          <w:rFonts w:ascii="Times New Roman" w:hAnsi="Times New Roman"/>
          <w:sz w:val="24"/>
          <w:szCs w:val="24"/>
        </w:rPr>
        <w:softHyphen/>
        <w:t xml:space="preserve">_______________, specijalista endokrinologa o načinu provođenja hormonalnog liječenja.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Izjavljujem da sam imao/imala vremena razmisliti o svojoj odluci prije potpisivanja ovog dokumetna.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Izjavljujem da mi je dr. ________________ omogućio postavljanje pitanja u vezi sa svime gore navedenim, da je odgovorio na moja piranja, te da mi je posvetio dovoljno vremena kako bismo zajednički razmotrili sve aspekte hormonalnog liječenja u postupku tranzicije iz muškog prema ženskom spolu.  Razumio sam sva objašnjena koja mi je liječnik dao.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Izjavljujem da sam primio primjerak ovog pristanka koji ujedno predstavlja i zahtjev za hormonalno liječenje u postupku tranzicije iz muškog prema ženskom spolu. </w:t>
      </w:r>
    </w:p>
    <w:p w:rsidR="00B930C9" w:rsidRPr="00E663F4" w:rsidRDefault="00B930C9" w:rsidP="00B930C9">
      <w:pPr>
        <w:rPr>
          <w:rFonts w:ascii="Times New Roman" w:hAnsi="Times New Roman"/>
          <w:sz w:val="24"/>
          <w:szCs w:val="24"/>
        </w:rPr>
      </w:pPr>
    </w:p>
    <w:p w:rsidR="00B930C9" w:rsidRPr="00E663F4" w:rsidRDefault="00B930C9" w:rsidP="00410732">
      <w:pPr>
        <w:ind w:firstLine="3"/>
        <w:rPr>
          <w:rFonts w:ascii="Times New Roman" w:hAnsi="Times New Roman"/>
          <w:sz w:val="24"/>
          <w:szCs w:val="24"/>
        </w:rPr>
      </w:pPr>
      <w:r w:rsidRPr="00E663F4">
        <w:rPr>
          <w:rFonts w:ascii="Times New Roman" w:hAnsi="Times New Roman"/>
          <w:sz w:val="24"/>
          <w:szCs w:val="24"/>
        </w:rPr>
        <w:t>U , ___________________</w:t>
      </w:r>
    </w:p>
    <w:p w:rsidR="00B930C9" w:rsidRPr="00E663F4" w:rsidRDefault="00B930C9" w:rsidP="00B930C9">
      <w:pPr>
        <w:rPr>
          <w:rFonts w:ascii="Times New Roman" w:hAnsi="Times New Roman"/>
          <w:sz w:val="24"/>
          <w:szCs w:val="24"/>
        </w:rPr>
      </w:pPr>
    </w:p>
    <w:p w:rsidR="00B930C9" w:rsidRPr="00E663F4" w:rsidRDefault="00B930C9" w:rsidP="00B930C9">
      <w:pPr>
        <w:rPr>
          <w:rFonts w:ascii="Times New Roman" w:hAnsi="Times New Roman"/>
          <w:b/>
          <w:sz w:val="24"/>
          <w:szCs w:val="24"/>
        </w:rPr>
      </w:pPr>
      <w:r w:rsidRPr="00E663F4">
        <w:rPr>
          <w:rFonts w:ascii="Times New Roman" w:hAnsi="Times New Roman"/>
          <w:sz w:val="24"/>
          <w:szCs w:val="24"/>
        </w:rPr>
        <w:t>______________________________</w:t>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t>______________________</w:t>
      </w:r>
    </w:p>
    <w:p w:rsidR="00B930C9" w:rsidRPr="00E663F4" w:rsidRDefault="00B930C9" w:rsidP="00B930C9">
      <w:pPr>
        <w:rPr>
          <w:rFonts w:ascii="Times New Roman" w:hAnsi="Times New Roman"/>
          <w:sz w:val="24"/>
          <w:szCs w:val="24"/>
        </w:rPr>
      </w:pPr>
      <w:r w:rsidRPr="00E663F4">
        <w:rPr>
          <w:rFonts w:ascii="Times New Roman" w:hAnsi="Times New Roman"/>
          <w:sz w:val="24"/>
          <w:szCs w:val="24"/>
        </w:rPr>
        <w:t>( ime i prezime podnositelja/ice zathjeva )</w:t>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t>( ime i prezime liječnika )</w:t>
      </w:r>
    </w:p>
    <w:p w:rsidR="00B930C9" w:rsidRPr="00E663F4" w:rsidRDefault="00B930C9" w:rsidP="00B930C9">
      <w:pPr>
        <w:rPr>
          <w:rFonts w:ascii="Times New Roman" w:hAnsi="Times New Roman"/>
          <w:sz w:val="24"/>
          <w:szCs w:val="24"/>
        </w:rPr>
      </w:pPr>
    </w:p>
    <w:p w:rsidR="00B930C9" w:rsidRPr="00E663F4" w:rsidRDefault="00B930C9" w:rsidP="00B930C9">
      <w:pPr>
        <w:rPr>
          <w:rFonts w:ascii="Times New Roman" w:hAnsi="Times New Roman"/>
          <w:sz w:val="24"/>
          <w:szCs w:val="24"/>
        </w:rPr>
      </w:pPr>
      <w:r w:rsidRPr="00E663F4">
        <w:rPr>
          <w:rFonts w:ascii="Times New Roman" w:hAnsi="Times New Roman"/>
          <w:sz w:val="24"/>
          <w:szCs w:val="24"/>
        </w:rPr>
        <w:t>______________________________</w:t>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t>______________________</w:t>
      </w:r>
    </w:p>
    <w:p w:rsidR="00B930C9" w:rsidRPr="00E663F4" w:rsidRDefault="00B930C9" w:rsidP="00B930C9">
      <w:pPr>
        <w:rPr>
          <w:rFonts w:ascii="Times New Roman" w:hAnsi="Times New Roman"/>
          <w:sz w:val="24"/>
          <w:szCs w:val="24"/>
        </w:rPr>
      </w:pPr>
      <w:r w:rsidRPr="00E663F4">
        <w:rPr>
          <w:rFonts w:ascii="Times New Roman" w:hAnsi="Times New Roman"/>
          <w:sz w:val="24"/>
          <w:szCs w:val="24"/>
        </w:rPr>
        <w:t xml:space="preserve"> ( potpis podnositelja/ice zahtjeva )</w:t>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t>( potpis liječnika)</w:t>
      </w:r>
    </w:p>
    <w:p w:rsidR="00B930C9" w:rsidRPr="00E663F4" w:rsidRDefault="00B930C9" w:rsidP="00B930C9">
      <w:pPr>
        <w:rPr>
          <w:rFonts w:ascii="Times New Roman" w:hAnsi="Times New Roman"/>
          <w:b/>
          <w:sz w:val="24"/>
          <w:szCs w:val="24"/>
        </w:rPr>
      </w:pPr>
      <w:r w:rsidRPr="00E663F4">
        <w:rPr>
          <w:rFonts w:ascii="Times New Roman" w:hAnsi="Times New Roman"/>
          <w:b/>
          <w:sz w:val="24"/>
          <w:szCs w:val="24"/>
        </w:rPr>
        <w:t>_________________________________</w:t>
      </w:r>
    </w:p>
    <w:p w:rsidR="00B930C9" w:rsidRPr="00E663F4" w:rsidRDefault="00B930C9" w:rsidP="00B930C9">
      <w:pPr>
        <w:rPr>
          <w:rFonts w:ascii="Times New Roman" w:hAnsi="Times New Roman"/>
          <w:b/>
          <w:sz w:val="24"/>
          <w:szCs w:val="24"/>
        </w:rPr>
      </w:pPr>
      <w:r w:rsidRPr="00E663F4">
        <w:rPr>
          <w:rFonts w:ascii="Times New Roman" w:hAnsi="Times New Roman"/>
          <w:b/>
          <w:sz w:val="24"/>
          <w:szCs w:val="24"/>
        </w:rPr>
        <w:t>( ime i prezime podnositelja zahtjeva )</w:t>
      </w:r>
    </w:p>
    <w:p w:rsidR="00B930C9" w:rsidRPr="00E663F4" w:rsidRDefault="00B930C9" w:rsidP="00B930C9">
      <w:pPr>
        <w:rPr>
          <w:rFonts w:ascii="Times New Roman" w:hAnsi="Times New Roman"/>
          <w:b/>
          <w:sz w:val="24"/>
          <w:szCs w:val="24"/>
        </w:rPr>
      </w:pPr>
      <w:r w:rsidRPr="00E663F4">
        <w:rPr>
          <w:rFonts w:ascii="Times New Roman" w:hAnsi="Times New Roman"/>
          <w:b/>
          <w:sz w:val="24"/>
          <w:szCs w:val="24"/>
        </w:rPr>
        <w:t>__________________________________</w:t>
      </w:r>
    </w:p>
    <w:p w:rsidR="00B930C9" w:rsidRPr="00E663F4" w:rsidRDefault="00B930C9" w:rsidP="00B930C9">
      <w:pPr>
        <w:rPr>
          <w:rFonts w:ascii="Times New Roman" w:hAnsi="Times New Roman"/>
          <w:b/>
          <w:sz w:val="24"/>
          <w:szCs w:val="24"/>
        </w:rPr>
      </w:pPr>
      <w:r w:rsidRPr="00E663F4">
        <w:rPr>
          <w:rFonts w:ascii="Times New Roman" w:hAnsi="Times New Roman"/>
          <w:b/>
          <w:sz w:val="24"/>
          <w:szCs w:val="24"/>
        </w:rPr>
        <w:t>( adresa )</w:t>
      </w:r>
    </w:p>
    <w:p w:rsidR="00B930C9" w:rsidRPr="00E663F4" w:rsidRDefault="00B930C9" w:rsidP="00B930C9">
      <w:pPr>
        <w:rPr>
          <w:rFonts w:ascii="Times New Roman" w:hAnsi="Times New Roman"/>
          <w:b/>
          <w:sz w:val="24"/>
          <w:szCs w:val="24"/>
        </w:rPr>
      </w:pPr>
      <w:r w:rsidRPr="00E663F4">
        <w:rPr>
          <w:rFonts w:ascii="Times New Roman" w:hAnsi="Times New Roman"/>
          <w:b/>
          <w:sz w:val="24"/>
          <w:szCs w:val="24"/>
        </w:rPr>
        <w:t>Ustanova</w:t>
      </w:r>
    </w:p>
    <w:p w:rsidR="00B930C9" w:rsidRPr="00E663F4" w:rsidRDefault="00B930C9" w:rsidP="00B930C9">
      <w:pPr>
        <w:rPr>
          <w:rFonts w:ascii="Times New Roman" w:hAnsi="Times New Roman"/>
          <w:b/>
          <w:sz w:val="24"/>
          <w:szCs w:val="24"/>
        </w:rPr>
      </w:pPr>
    </w:p>
    <w:p w:rsidR="00B930C9" w:rsidRPr="00E663F4" w:rsidRDefault="00B930C9" w:rsidP="00BC24A2">
      <w:pPr>
        <w:jc w:val="both"/>
        <w:rPr>
          <w:rFonts w:ascii="Times New Roman" w:hAnsi="Times New Roman"/>
          <w:b/>
          <w:sz w:val="24"/>
          <w:szCs w:val="24"/>
        </w:rPr>
      </w:pPr>
      <w:r w:rsidRPr="00E663F4">
        <w:rPr>
          <w:rFonts w:ascii="Times New Roman" w:hAnsi="Times New Roman"/>
          <w:b/>
          <w:sz w:val="24"/>
          <w:szCs w:val="24"/>
        </w:rPr>
        <w:t>Predmet:  Informirani pristanak na terapiju testosteronom kod tranzicije iz ženskog prema muškom spolu</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Ovaj dokument je namijenjen osobama koje žele hormonalnu terapiju u svrhu postizanja tranzicije iz ženskog prema muškom spolu.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Hormonalno liječenje uključuje primjenu testosterona ( muških spolnih hormona ).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Hormonalno liječenje je dio složenog postupka tranzicije iz ženskog u muški spol. Započinjanje procesa se indicira psihijatrijskim i psihološkim pregledom, kojim se dijagnosticira poremećaj rodnog indentiteta ( F 64 po klasifikaciji bolesti Svjetske zdravstvene organizacije, X revizija ). Uz preporuku psihijatra i psihologa, a ukoliko nema kontraindikacija za primjenu testosterona, započinje se hormonalno liječenje, koje se koristi tijekom najmanje godinu dana pred eventualnu odluku o eventualnom operativnom zahvatu na dojkama, odnosno spolnim organima.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Uspješno hormonalno liječenje ne mora nužno biti popraćeno korektivnom operativnim zahvatom.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Sama primjena testosterona može imati trajne i prolazne posljedice.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U trajne posljedice spada ispadanje kose, uključujući i ćelavost, povećanje dlakavosti lica, produbljivanje glasa, povećanje tjelesne dlakavosti, povećanje klitorisa. Vremenski period koji je potreban za nastanak ovih promjena se kreće od nekoliko mjeseci, pa do više od 5 godina.</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Netrajne posljedice su povećanje mišićne mase, preraspodjela masnog tkiva po muškom tipu, povećanje broja crvenih krvnih stanica, pojačanje spolnog nagona, izražene promjene u ponašanju ( uključujući veću agresivnost ), pojava akni koje mogu zahtijevati specijalističko liječenje, promjene u menstrualnom ciklusu, uključujući i izostanak ovulacije, odnosno neplodnost. Poremećaj menstrualnog ciklusa uzrokovan testosteronskom terapijom ne </w:t>
      </w:r>
      <w:r w:rsidRPr="00E663F4">
        <w:rPr>
          <w:rFonts w:ascii="Times New Roman" w:hAnsi="Times New Roman"/>
          <w:sz w:val="24"/>
          <w:szCs w:val="24"/>
        </w:rPr>
        <w:lastRenderedPageBreak/>
        <w:t>isključuje mogućnost trudnoće. S druge strane, smanjenje plodnosti može zaostati kao problem i u slučaju trajnog prekida liječenja testosteronom.</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Osim opisanog učinka, moguće su i nuspojave liječenja.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Opisane nuspojave hormonalnog liječenja uključuju veći rizik od razvoja karcinoma endometrija maternice, dojki, oštećenja jetre, šećerne bolesti, porasta razine LDL kolesterola u krvi i pada razine HDL kolesterola, kao i koronarne srčane bolesti.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Zbog navedenih razloga, hormonalno liječenje mora biti individualno određeno i praćeno, a prema potrebi i prekinuto iz medicinskih razloga.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Navedeno liječenje je moguće prekinuti u bilo kojem trenutku. </w:t>
      </w:r>
    </w:p>
    <w:p w:rsidR="00B930C9" w:rsidRPr="00E663F4" w:rsidRDefault="00DB585B" w:rsidP="00BC24A2">
      <w:pPr>
        <w:jc w:val="both"/>
        <w:rPr>
          <w:rFonts w:ascii="Times New Roman" w:hAnsi="Times New Roman"/>
          <w:sz w:val="24"/>
          <w:szCs w:val="24"/>
        </w:rPr>
      </w:pPr>
      <w:r>
        <w:rPr>
          <w:rFonts w:ascii="Times New Roman" w:hAnsi="Times New Roman"/>
          <w:sz w:val="24"/>
          <w:szCs w:val="24"/>
        </w:rPr>
        <w:t>Prema trenutno važ</w:t>
      </w:r>
      <w:r w:rsidR="00B930C9" w:rsidRPr="00E663F4">
        <w:rPr>
          <w:rFonts w:ascii="Times New Roman" w:hAnsi="Times New Roman"/>
          <w:sz w:val="24"/>
          <w:szCs w:val="24"/>
        </w:rPr>
        <w:t xml:space="preserve">ećim propisima, nije predviđeno financiranje ovog vida hormonalne terapije iz sredstava HZZO-a.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Na meni razumljiv način upoznat/a sam od strane liječnika dr. </w:t>
      </w:r>
      <w:r w:rsidRPr="00E663F4">
        <w:rPr>
          <w:rFonts w:ascii="Times New Roman" w:hAnsi="Times New Roman"/>
          <w:sz w:val="24"/>
          <w:szCs w:val="24"/>
        </w:rPr>
        <w:softHyphen/>
        <w:t xml:space="preserve">_______________, specijalista endokrinologa o načinu provođenja hormonalnog liječenja.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Izjavljujem da sam imao/imala vremena razmisliti o svojoj odluci prije potpisivanja ovog dokumetna.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Izjavljujem da mi je dr. ________________ omogućio postavljanje pitanja u vezi sa svime gore navedenim, da je odgovorio na moja piranja, te da mi je posvetio dovoljno vremena kako bismo zajednički razmotrili sve aspekte hormonalnog liječenja u postupku tranzicije iz ženskog prema muškom spolu.  Razumio sam sva objašnjena koja mi je liječnik dao. </w:t>
      </w:r>
    </w:p>
    <w:p w:rsidR="00B930C9" w:rsidRPr="00E663F4" w:rsidRDefault="00B930C9" w:rsidP="00BC24A2">
      <w:pPr>
        <w:jc w:val="both"/>
        <w:rPr>
          <w:rFonts w:ascii="Times New Roman" w:hAnsi="Times New Roman"/>
          <w:sz w:val="24"/>
          <w:szCs w:val="24"/>
        </w:rPr>
      </w:pPr>
      <w:r w:rsidRPr="00E663F4">
        <w:rPr>
          <w:rFonts w:ascii="Times New Roman" w:hAnsi="Times New Roman"/>
          <w:sz w:val="24"/>
          <w:szCs w:val="24"/>
        </w:rPr>
        <w:t xml:space="preserve">Izjavljujem da sam primio primjerak ovog pristanka koji ujedno predstavlja i zahtjev za hormonalno liječenje u postupku tranzicije iz ženskog prema muškom spolu. </w:t>
      </w:r>
    </w:p>
    <w:p w:rsidR="00B930C9" w:rsidRPr="00E663F4" w:rsidRDefault="00B930C9" w:rsidP="00B930C9">
      <w:pPr>
        <w:rPr>
          <w:rFonts w:ascii="Times New Roman" w:hAnsi="Times New Roman"/>
          <w:sz w:val="24"/>
          <w:szCs w:val="24"/>
        </w:rPr>
      </w:pPr>
    </w:p>
    <w:p w:rsidR="00B930C9" w:rsidRPr="00E663F4" w:rsidRDefault="00B930C9" w:rsidP="00B930C9">
      <w:pPr>
        <w:rPr>
          <w:rFonts w:ascii="Times New Roman" w:hAnsi="Times New Roman"/>
          <w:sz w:val="24"/>
          <w:szCs w:val="24"/>
        </w:rPr>
      </w:pPr>
      <w:r w:rsidRPr="00E663F4">
        <w:rPr>
          <w:rFonts w:ascii="Times New Roman" w:hAnsi="Times New Roman"/>
          <w:sz w:val="24"/>
          <w:szCs w:val="24"/>
        </w:rPr>
        <w:t>U Zagrebu, ___________________</w:t>
      </w:r>
    </w:p>
    <w:p w:rsidR="00B930C9" w:rsidRPr="00E663F4" w:rsidRDefault="00B930C9" w:rsidP="00B930C9">
      <w:pPr>
        <w:rPr>
          <w:rFonts w:ascii="Times New Roman" w:hAnsi="Times New Roman"/>
          <w:b/>
          <w:sz w:val="24"/>
          <w:szCs w:val="24"/>
        </w:rPr>
      </w:pPr>
      <w:r w:rsidRPr="00E663F4">
        <w:rPr>
          <w:rFonts w:ascii="Times New Roman" w:hAnsi="Times New Roman"/>
          <w:sz w:val="24"/>
          <w:szCs w:val="24"/>
        </w:rPr>
        <w:t>______________________________</w:t>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t>______________________</w:t>
      </w:r>
    </w:p>
    <w:p w:rsidR="00B930C9" w:rsidRPr="00E663F4" w:rsidRDefault="00B930C9" w:rsidP="00B930C9">
      <w:pPr>
        <w:rPr>
          <w:rFonts w:ascii="Times New Roman" w:hAnsi="Times New Roman"/>
          <w:sz w:val="24"/>
          <w:szCs w:val="24"/>
        </w:rPr>
      </w:pPr>
      <w:r w:rsidRPr="00E663F4">
        <w:rPr>
          <w:rFonts w:ascii="Times New Roman" w:hAnsi="Times New Roman"/>
          <w:sz w:val="24"/>
          <w:szCs w:val="24"/>
        </w:rPr>
        <w:t>( ime i prezime podnositelja/ice zathjeva )</w:t>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t>( ime i prezime liječnika )</w:t>
      </w:r>
    </w:p>
    <w:p w:rsidR="00B930C9" w:rsidRPr="00E663F4" w:rsidRDefault="00B930C9" w:rsidP="00B930C9">
      <w:pPr>
        <w:rPr>
          <w:rFonts w:ascii="Times New Roman" w:hAnsi="Times New Roman"/>
          <w:sz w:val="24"/>
          <w:szCs w:val="24"/>
        </w:rPr>
      </w:pPr>
    </w:p>
    <w:p w:rsidR="00B930C9" w:rsidRPr="00E663F4" w:rsidRDefault="00B930C9" w:rsidP="00B930C9">
      <w:pPr>
        <w:rPr>
          <w:rFonts w:ascii="Times New Roman" w:hAnsi="Times New Roman"/>
          <w:sz w:val="24"/>
          <w:szCs w:val="24"/>
        </w:rPr>
      </w:pPr>
      <w:r w:rsidRPr="00E663F4">
        <w:rPr>
          <w:rFonts w:ascii="Times New Roman" w:hAnsi="Times New Roman"/>
          <w:sz w:val="24"/>
          <w:szCs w:val="24"/>
        </w:rPr>
        <w:t>______________________________</w:t>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t>______________________</w:t>
      </w:r>
    </w:p>
    <w:p w:rsidR="00B930C9" w:rsidRDefault="00B930C9" w:rsidP="00B930C9">
      <w:pPr>
        <w:rPr>
          <w:rFonts w:ascii="Times New Roman" w:hAnsi="Times New Roman"/>
          <w:sz w:val="24"/>
          <w:szCs w:val="24"/>
        </w:rPr>
      </w:pPr>
      <w:r w:rsidRPr="00E663F4">
        <w:rPr>
          <w:rFonts w:ascii="Times New Roman" w:hAnsi="Times New Roman"/>
          <w:sz w:val="24"/>
          <w:szCs w:val="24"/>
        </w:rPr>
        <w:t xml:space="preserve"> ( potpis podnositelja/ice zahtjeva )</w:t>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r>
      <w:r w:rsidRPr="00E663F4">
        <w:rPr>
          <w:rFonts w:ascii="Times New Roman" w:hAnsi="Times New Roman"/>
          <w:sz w:val="24"/>
          <w:szCs w:val="24"/>
        </w:rPr>
        <w:tab/>
        <w:t>( potpis liječnika)</w:t>
      </w:r>
    </w:p>
    <w:p w:rsidR="00B443A1" w:rsidRDefault="00B443A1" w:rsidP="0041073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KLASA: </w:t>
      </w:r>
    </w:p>
    <w:p w:rsidR="00B443A1" w:rsidRDefault="00B443A1" w:rsidP="00410732">
      <w:pPr>
        <w:spacing w:after="0" w:line="240" w:lineRule="auto"/>
        <w:rPr>
          <w:rFonts w:ascii="Times New Roman" w:eastAsia="Times New Roman" w:hAnsi="Times New Roman"/>
          <w:sz w:val="24"/>
          <w:szCs w:val="24"/>
          <w:lang w:eastAsia="hr-HR"/>
        </w:rPr>
      </w:pPr>
      <w:r w:rsidRPr="00036C68">
        <w:rPr>
          <w:rFonts w:ascii="Times New Roman" w:eastAsia="Times New Roman" w:hAnsi="Times New Roman"/>
          <w:sz w:val="24"/>
          <w:szCs w:val="24"/>
          <w:lang w:eastAsia="hr-HR"/>
        </w:rPr>
        <w:t xml:space="preserve">URBROJ: </w:t>
      </w:r>
    </w:p>
    <w:p w:rsidR="00410732" w:rsidRPr="00036C68" w:rsidRDefault="00410732" w:rsidP="0041073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Zagreb, </w:t>
      </w:r>
    </w:p>
    <w:p w:rsidR="00410732" w:rsidRPr="00036C68" w:rsidRDefault="00410732" w:rsidP="00410732">
      <w:pPr>
        <w:spacing w:after="0" w:line="240" w:lineRule="auto"/>
        <w:ind w:left="5245"/>
        <w:jc w:val="center"/>
        <w:rPr>
          <w:rFonts w:ascii="Times New Roman" w:eastAsia="Times New Roman" w:hAnsi="Times New Roman"/>
          <w:sz w:val="24"/>
          <w:szCs w:val="24"/>
          <w:lang w:eastAsia="hr-HR"/>
        </w:rPr>
      </w:pPr>
      <w:r w:rsidRPr="00036C68">
        <w:rPr>
          <w:rFonts w:ascii="Times New Roman" w:eastAsia="Times New Roman" w:hAnsi="Times New Roman"/>
          <w:sz w:val="24"/>
          <w:szCs w:val="24"/>
          <w:lang w:eastAsia="hr-HR"/>
        </w:rPr>
        <w:t>Ministar</w:t>
      </w:r>
    </w:p>
    <w:p w:rsidR="00410732" w:rsidRPr="00036C68" w:rsidRDefault="00410732" w:rsidP="00410732">
      <w:pPr>
        <w:spacing w:after="0" w:line="240" w:lineRule="auto"/>
        <w:ind w:left="5245"/>
        <w:jc w:val="center"/>
        <w:rPr>
          <w:rFonts w:ascii="Times New Roman" w:eastAsia="Times New Roman" w:hAnsi="Times New Roman"/>
          <w:sz w:val="24"/>
          <w:szCs w:val="24"/>
          <w:lang w:eastAsia="hr-HR"/>
        </w:rPr>
      </w:pPr>
    </w:p>
    <w:p w:rsidR="00410732" w:rsidRPr="00E663F4" w:rsidRDefault="00410732" w:rsidP="00B443A1">
      <w:pPr>
        <w:spacing w:after="0" w:line="240" w:lineRule="auto"/>
        <w:ind w:left="5245"/>
        <w:jc w:val="center"/>
        <w:rPr>
          <w:rFonts w:ascii="Times New Roman" w:hAnsi="Times New Roman"/>
          <w:sz w:val="24"/>
          <w:szCs w:val="24"/>
        </w:rPr>
      </w:pPr>
      <w:r w:rsidRPr="00036C68">
        <w:rPr>
          <w:rFonts w:ascii="Times New Roman" w:eastAsia="Times New Roman" w:hAnsi="Times New Roman"/>
          <w:sz w:val="24"/>
          <w:szCs w:val="24"/>
          <w:lang w:eastAsia="hr-HR"/>
        </w:rPr>
        <w:t>prim. Siniša Varga, dr. med. dent.</w:t>
      </w:r>
    </w:p>
    <w:sectPr w:rsidR="00410732" w:rsidRPr="00E663F4" w:rsidSect="00AB630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E1" w:rsidRDefault="008730E1" w:rsidP="001C73FF">
      <w:pPr>
        <w:spacing w:after="0" w:line="240" w:lineRule="auto"/>
      </w:pPr>
      <w:r>
        <w:separator/>
      </w:r>
    </w:p>
  </w:endnote>
  <w:endnote w:type="continuationSeparator" w:id="0">
    <w:p w:rsidR="008730E1" w:rsidRDefault="008730E1" w:rsidP="001C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00"/>
    <w:family w:val="roman"/>
    <w:pitch w:val="variable"/>
  </w:font>
  <w:font w:name="Liberation Sans">
    <w:altName w:val="Arial"/>
    <w:charset w:val="00"/>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A1" w:rsidRDefault="00B443A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60585"/>
      <w:docPartObj>
        <w:docPartGallery w:val="Page Numbers (Bottom of Page)"/>
        <w:docPartUnique/>
      </w:docPartObj>
    </w:sdtPr>
    <w:sdtEndPr/>
    <w:sdtContent>
      <w:p w:rsidR="00B443A1" w:rsidRDefault="00B443A1">
        <w:pPr>
          <w:pStyle w:val="Podnoje"/>
          <w:jc w:val="right"/>
        </w:pPr>
        <w:r>
          <w:fldChar w:fldCharType="begin"/>
        </w:r>
        <w:r>
          <w:instrText>PAGE   \* MERGEFORMAT</w:instrText>
        </w:r>
        <w:r>
          <w:fldChar w:fldCharType="separate"/>
        </w:r>
        <w:r w:rsidR="00BC24A2">
          <w:rPr>
            <w:noProof/>
          </w:rPr>
          <w:t>15</w:t>
        </w:r>
        <w:r>
          <w:fldChar w:fldCharType="end"/>
        </w:r>
      </w:p>
    </w:sdtContent>
  </w:sdt>
  <w:p w:rsidR="00B443A1" w:rsidRDefault="00B443A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A1" w:rsidRDefault="00B443A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E1" w:rsidRDefault="008730E1" w:rsidP="001C73FF">
      <w:pPr>
        <w:spacing w:after="0" w:line="240" w:lineRule="auto"/>
      </w:pPr>
      <w:r>
        <w:separator/>
      </w:r>
    </w:p>
  </w:footnote>
  <w:footnote w:type="continuationSeparator" w:id="0">
    <w:p w:rsidR="008730E1" w:rsidRDefault="008730E1" w:rsidP="001C73FF">
      <w:pPr>
        <w:spacing w:after="0" w:line="240" w:lineRule="auto"/>
      </w:pPr>
      <w:r>
        <w:continuationSeparator/>
      </w:r>
    </w:p>
  </w:footnote>
  <w:footnote w:id="1">
    <w:p w:rsidR="00B443A1" w:rsidRDefault="00B443A1" w:rsidP="001C73FF">
      <w:pPr>
        <w:pStyle w:val="Tekstfusnote"/>
      </w:pPr>
      <w:r>
        <w:rPr>
          <w:rStyle w:val="Referencafusnote"/>
        </w:rPr>
        <w:footnoteRef/>
      </w:r>
      <w:r>
        <w:t xml:space="preserve"> U literaturi se nalaze različiti nazivi za ovo stanje, primjerice: transrodnost, transseksualnost, transspolnost, poremećaj rodnog identiteta. Nazivi su pratili povijesno-kulturalni odnos prema ovom fenomenu. U DSM-5 se koristi pojam </w:t>
      </w:r>
      <w:r>
        <w:rPr>
          <w:i/>
        </w:rPr>
        <w:t>rodna disforija</w:t>
      </w:r>
      <w:r>
        <w:t xml:space="preserve">, pa će u daljnjem tekstu biti korišten taj termin kada se govori o dijagnostičkom entitetu, te pojam </w:t>
      </w:r>
      <w:r>
        <w:rPr>
          <w:i/>
        </w:rPr>
        <w:t>transpolnost</w:t>
      </w:r>
      <w:r>
        <w:t xml:space="preserve"> koji označava osobe koji imaju snažnu potrebu za usklađivanjem svog tijela rodnom identitetu. </w:t>
      </w:r>
    </w:p>
  </w:footnote>
  <w:footnote w:id="2">
    <w:p w:rsidR="00B443A1" w:rsidRDefault="00B443A1" w:rsidP="000A0DEC">
      <w:r>
        <w:rPr>
          <w:rStyle w:val="FootnoteCharacters"/>
        </w:rPr>
        <w:footnoteRef/>
      </w:r>
      <w:r>
        <w:br w:type="page"/>
      </w:r>
      <w:r>
        <w:rPr>
          <w:rStyle w:val="FootnoteReference1"/>
        </w:rPr>
        <w:tab/>
      </w:r>
      <w:r w:rsidRPr="00315D95">
        <w:rPr>
          <w:lang w:val="es-ES"/>
        </w:rPr>
        <w:t xml:space="preserve"> Uz dopuštenje, prilagođeno prema Hembree i sur. </w:t>
      </w:r>
      <w:r>
        <w:t>(2009). Copyright 2009, The Endocrine Society.</w:t>
      </w:r>
    </w:p>
    <w:p w:rsidR="00B443A1" w:rsidRDefault="00B443A1" w:rsidP="000A0DEC">
      <w:pPr>
        <w:pStyle w:val="Tekstfusnote"/>
      </w:pPr>
    </w:p>
  </w:footnote>
  <w:footnote w:id="3">
    <w:p w:rsidR="00B443A1" w:rsidRDefault="00B443A1" w:rsidP="000A0DEC">
      <w:r>
        <w:rPr>
          <w:rStyle w:val="FootnoteCharacters"/>
        </w:rPr>
        <w:footnoteRef/>
      </w:r>
      <w:r>
        <w:br w:type="page"/>
      </w:r>
      <w:r>
        <w:rPr>
          <w:rStyle w:val="FootnoteReference1"/>
        </w:rPr>
        <w:tab/>
      </w:r>
      <w:r>
        <w:t xml:space="preserve"> Procjene na temelju objavljenih i neobjavljenih kliničkih istraživanja.</w:t>
      </w:r>
    </w:p>
    <w:p w:rsidR="00B443A1" w:rsidRDefault="00B443A1" w:rsidP="000A0DEC">
      <w:pPr>
        <w:pStyle w:val="Tekstfusnote"/>
      </w:pPr>
    </w:p>
  </w:footnote>
  <w:footnote w:id="4">
    <w:p w:rsidR="00B443A1" w:rsidRDefault="00B443A1" w:rsidP="000A0DEC">
      <w:r>
        <w:rPr>
          <w:rStyle w:val="FootnoteCharacters"/>
        </w:rPr>
        <w:footnoteRef/>
      </w:r>
      <w:r>
        <w:br w:type="page"/>
      </w:r>
      <w:r>
        <w:rPr>
          <w:rStyle w:val="FootnoteReference1"/>
        </w:rPr>
        <w:tab/>
      </w:r>
      <w:r>
        <w:t xml:space="preserve"> Izrazito ovisi o dobi i nasljednim faktorima; učinak može biti minimalan.</w:t>
      </w:r>
    </w:p>
    <w:p w:rsidR="00B443A1" w:rsidRDefault="00B443A1" w:rsidP="000A0DEC">
      <w:pPr>
        <w:pStyle w:val="Tekstfusnote"/>
      </w:pPr>
    </w:p>
  </w:footnote>
  <w:footnote w:id="5">
    <w:p w:rsidR="00B443A1" w:rsidRDefault="00B443A1" w:rsidP="000A0DEC">
      <w:r>
        <w:rPr>
          <w:rStyle w:val="FootnoteCharacters"/>
        </w:rPr>
        <w:footnoteRef/>
      </w:r>
      <w:r>
        <w:br w:type="page"/>
      </w:r>
      <w:r>
        <w:rPr>
          <w:rStyle w:val="FootnoteReference1"/>
        </w:rPr>
        <w:tab/>
      </w:r>
      <w:r w:rsidRPr="00315D95">
        <w:rPr>
          <w:lang w:val="es-ES"/>
        </w:rPr>
        <w:t xml:space="preserve"> Izrazito ovisi o </w:t>
      </w:r>
      <w:r>
        <w:t>učestalosti</w:t>
      </w:r>
      <w:r w:rsidRPr="00315D95">
        <w:rPr>
          <w:lang w:val="es-ES"/>
        </w:rPr>
        <w:t xml:space="preserve"> vježbanja.</w:t>
      </w:r>
    </w:p>
    <w:p w:rsidR="00B443A1" w:rsidRPr="00315D95" w:rsidRDefault="00B443A1" w:rsidP="000A0DEC">
      <w:pPr>
        <w:pStyle w:val="Tekstfusnote"/>
        <w:rPr>
          <w:lang w:val="es-ES"/>
        </w:rPr>
      </w:pPr>
    </w:p>
  </w:footnote>
  <w:footnote w:id="6">
    <w:p w:rsidR="00B443A1" w:rsidRDefault="00B443A1" w:rsidP="000A0DEC">
      <w:r>
        <w:rPr>
          <w:rStyle w:val="FootnoteCharacters"/>
        </w:rPr>
        <w:footnoteRef/>
      </w:r>
      <w:r>
        <w:br w:type="page"/>
      </w:r>
      <w:r>
        <w:rPr>
          <w:rStyle w:val="FootnoteReference1"/>
        </w:rPr>
        <w:tab/>
      </w:r>
      <w:r w:rsidRPr="00315D95">
        <w:rPr>
          <w:lang w:val="es-ES"/>
        </w:rPr>
        <w:t xml:space="preserve"> Uz dopuštenje, prilagođeno prema Hembree i sur. </w:t>
      </w:r>
      <w:r>
        <w:t>(2009). Copyright 2009. The Endocrine Society.</w:t>
      </w:r>
    </w:p>
    <w:p w:rsidR="00B443A1" w:rsidRDefault="00B443A1" w:rsidP="000A0DEC">
      <w:pPr>
        <w:pStyle w:val="Tekstfusnote"/>
      </w:pPr>
    </w:p>
  </w:footnote>
  <w:footnote w:id="7">
    <w:p w:rsidR="00B443A1" w:rsidRDefault="00B443A1" w:rsidP="000A0DEC">
      <w:r>
        <w:rPr>
          <w:rStyle w:val="FootnoteCharacters"/>
        </w:rPr>
        <w:footnoteRef/>
      </w:r>
      <w:r>
        <w:br w:type="page"/>
      </w:r>
      <w:r>
        <w:rPr>
          <w:rStyle w:val="FootnoteReference1"/>
        </w:rPr>
        <w:tab/>
      </w:r>
      <w:r>
        <w:t xml:space="preserve"> Procjene na temelju objavljenih i neobjavljenih kliničkih istraživanja.</w:t>
      </w:r>
    </w:p>
    <w:p w:rsidR="00B443A1" w:rsidRDefault="00B443A1" w:rsidP="000A0DEC">
      <w:pPr>
        <w:pStyle w:val="Tekstfusnote"/>
      </w:pPr>
    </w:p>
  </w:footnote>
  <w:footnote w:id="8">
    <w:p w:rsidR="00B443A1" w:rsidRDefault="00B443A1" w:rsidP="000A0DEC">
      <w:r>
        <w:rPr>
          <w:rStyle w:val="FootnoteCharacters"/>
        </w:rPr>
        <w:footnoteRef/>
      </w:r>
      <w:r>
        <w:br w:type="page"/>
      </w:r>
      <w:r>
        <w:rPr>
          <w:rStyle w:val="FootnoteReference1"/>
        </w:rPr>
        <w:tab/>
      </w:r>
      <w:r w:rsidRPr="00315D95">
        <w:rPr>
          <w:lang w:val="es-ES"/>
        </w:rPr>
        <w:t xml:space="preserve"> Izrazito ovisi o </w:t>
      </w:r>
      <w:r>
        <w:t xml:space="preserve">učestalosti </w:t>
      </w:r>
      <w:r w:rsidRPr="00315D95">
        <w:rPr>
          <w:lang w:val="es-ES"/>
        </w:rPr>
        <w:t>vježbanja.</w:t>
      </w:r>
    </w:p>
    <w:p w:rsidR="00B443A1" w:rsidRPr="00315D95" w:rsidRDefault="00B443A1" w:rsidP="000A0DEC">
      <w:pPr>
        <w:pStyle w:val="Tekstfusnote"/>
        <w:rPr>
          <w:lang w:val="es-ES"/>
        </w:rPr>
      </w:pPr>
    </w:p>
  </w:footnote>
  <w:footnote w:id="9">
    <w:p w:rsidR="00B443A1" w:rsidRDefault="00B443A1" w:rsidP="000A0DEC">
      <w:r>
        <w:rPr>
          <w:rStyle w:val="FootnoteCharacters"/>
        </w:rPr>
        <w:footnoteRef/>
      </w:r>
      <w:r>
        <w:br w:type="page"/>
      </w:r>
      <w:r>
        <w:rPr>
          <w:rStyle w:val="FootnoteReference1"/>
        </w:rPr>
        <w:tab/>
      </w:r>
      <w:r>
        <w:t xml:space="preserve"> Potpuno uklanjanje muških facijalnih i tjelesnih dlaka zahtijeva elektrolizu, laserski tretman ili oboje.</w:t>
      </w:r>
    </w:p>
    <w:p w:rsidR="00B443A1" w:rsidRDefault="00B443A1" w:rsidP="000A0DEC">
      <w:pPr>
        <w:pStyle w:val="Tekstfusnote"/>
      </w:pPr>
    </w:p>
  </w:footnote>
  <w:footnote w:id="10">
    <w:p w:rsidR="00B443A1" w:rsidRDefault="00B443A1" w:rsidP="000A0DEC">
      <w:r>
        <w:rPr>
          <w:rStyle w:val="FootnoteCharacters"/>
        </w:rPr>
        <w:footnoteRef/>
      </w:r>
      <w:r>
        <w:br w:type="page"/>
      </w:r>
      <w:r>
        <w:rPr>
          <w:rStyle w:val="FootnoteReference1"/>
        </w:rPr>
        <w:tab/>
      </w:r>
      <w:r>
        <w:t xml:space="preserve"> Rizik je veći kod oralnoga uzimanja estrogena nego kod transdermalnoga uzimanja.</w:t>
      </w:r>
    </w:p>
    <w:p w:rsidR="00B443A1" w:rsidRDefault="00B443A1" w:rsidP="000A0DEC">
      <w:pPr>
        <w:pStyle w:val="Tekstfusnote"/>
      </w:pPr>
    </w:p>
  </w:footnote>
  <w:footnote w:id="11">
    <w:p w:rsidR="00B443A1" w:rsidRDefault="00B443A1" w:rsidP="000A0DEC">
      <w:r>
        <w:rPr>
          <w:rStyle w:val="FootnoteCharacters"/>
        </w:rPr>
        <w:footnoteRef/>
      </w:r>
      <w:r>
        <w:br w:type="page"/>
      </w:r>
      <w:r>
        <w:rPr>
          <w:rStyle w:val="FootnoteReference1"/>
        </w:rPr>
        <w:tab/>
      </w:r>
      <w:r>
        <w:t xml:space="preserve"> Dodatni rizični faktor je i dob.</w:t>
      </w:r>
    </w:p>
    <w:p w:rsidR="00B443A1" w:rsidRDefault="00B443A1" w:rsidP="000A0DEC">
      <w:pPr>
        <w:pStyle w:val="Tekstfusnote"/>
      </w:pPr>
    </w:p>
  </w:footnote>
  <w:footnote w:id="12">
    <w:p w:rsidR="00B443A1" w:rsidRDefault="00B443A1" w:rsidP="000A0DEC">
      <w:r>
        <w:rPr>
          <w:rStyle w:val="FootnoteCharacters"/>
        </w:rPr>
        <w:footnoteRef/>
      </w:r>
      <w:r>
        <w:br w:type="page"/>
      </w:r>
      <w:r>
        <w:rPr>
          <w:rStyle w:val="FootnoteReference1"/>
        </w:rPr>
        <w:tab/>
      </w:r>
      <w:r>
        <w:t xml:space="preserve"> Dodatni rizični faktor je i dob.</w:t>
      </w:r>
    </w:p>
    <w:p w:rsidR="00B443A1" w:rsidRDefault="00B443A1" w:rsidP="000A0DEC">
      <w:pPr>
        <w:pStyle w:val="Tekstfusnote"/>
      </w:pPr>
    </w:p>
  </w:footnote>
  <w:footnote w:id="13">
    <w:p w:rsidR="00B443A1" w:rsidRDefault="00B443A1" w:rsidP="000A0DEC">
      <w:r>
        <w:rPr>
          <w:rStyle w:val="FootnoteCharacters"/>
        </w:rPr>
        <w:footnoteRef/>
      </w:r>
      <w:r>
        <w:br w:type="page"/>
      </w:r>
      <w:r>
        <w:rPr>
          <w:rStyle w:val="FootnoteReference1"/>
        </w:rPr>
        <w:tab/>
      </w:r>
      <w:r>
        <w:t xml:space="preserve"> Rizik je veći kod oralne primjene estrogena nego kod transdermalnoga uzimanja.</w:t>
      </w:r>
    </w:p>
    <w:p w:rsidR="00B443A1" w:rsidRDefault="00B443A1" w:rsidP="000A0DEC">
      <w:pPr>
        <w:pStyle w:val="Tekstfusnote"/>
      </w:pPr>
    </w:p>
  </w:footnote>
  <w:footnote w:id="14">
    <w:p w:rsidR="00B443A1" w:rsidRDefault="00B443A1" w:rsidP="000A0DEC">
      <w:r>
        <w:rPr>
          <w:rStyle w:val="FootnoteCharacters"/>
        </w:rPr>
        <w:footnoteRef/>
      </w:r>
      <w:r>
        <w:br w:type="page"/>
      </w:r>
      <w:r>
        <w:rPr>
          <w:rStyle w:val="FootnoteReference1"/>
        </w:rPr>
        <w:tab/>
      </w:r>
      <w:r>
        <w:t xml:space="preserve"> U njih su uključeni bipolarni, shizoafektivni i ostali poremećaji koji mogu imati manične ili psihotične simptome. Čini se da je ovaj nepoželjni efekt povezan s višim dozama ili suprafiziološkim razinama testosterona.</w:t>
      </w:r>
    </w:p>
    <w:p w:rsidR="00B443A1" w:rsidRDefault="00B443A1" w:rsidP="000A0DEC">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A1" w:rsidRDefault="00B443A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A1" w:rsidRDefault="00B443A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A1" w:rsidRDefault="00B443A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E"/>
    <w:multiLevelType w:val="multilevel"/>
    <w:tmpl w:val="0000000E"/>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164A3896"/>
    <w:multiLevelType w:val="hybridMultilevel"/>
    <w:tmpl w:val="33C8FBCA"/>
    <w:lvl w:ilvl="0" w:tplc="25348C2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5AC62C4"/>
    <w:multiLevelType w:val="hybridMultilevel"/>
    <w:tmpl w:val="8210295C"/>
    <w:lvl w:ilvl="0" w:tplc="9AFAEDCE">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97062EF"/>
    <w:multiLevelType w:val="hybridMultilevel"/>
    <w:tmpl w:val="6BF85FB4"/>
    <w:lvl w:ilvl="0" w:tplc="25348C2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E2B27EA"/>
    <w:multiLevelType w:val="hybridMultilevel"/>
    <w:tmpl w:val="F9B8B352"/>
    <w:lvl w:ilvl="0" w:tplc="25348C24">
      <w:start w:val="1"/>
      <w:numFmt w:val="bullet"/>
      <w:lvlText w:val=""/>
      <w:lvlJc w:val="left"/>
      <w:pPr>
        <w:ind w:left="720" w:hanging="360"/>
      </w:pPr>
      <w:rPr>
        <w:rFonts w:ascii="Symbol" w:hAnsi="Symbol" w:hint="default"/>
      </w:rPr>
    </w:lvl>
    <w:lvl w:ilvl="1" w:tplc="BE487A5C">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BF7562F"/>
    <w:multiLevelType w:val="hybridMultilevel"/>
    <w:tmpl w:val="FD2C44BE"/>
    <w:lvl w:ilvl="0" w:tplc="9BD82A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FFB436F"/>
    <w:multiLevelType w:val="hybridMultilevel"/>
    <w:tmpl w:val="163C57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21B58E3"/>
    <w:multiLevelType w:val="hybridMultilevel"/>
    <w:tmpl w:val="7564DA38"/>
    <w:lvl w:ilvl="0" w:tplc="9AFAEDCE">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73CC2C42"/>
    <w:multiLevelType w:val="hybridMultilevel"/>
    <w:tmpl w:val="D9AE7FC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6"/>
  </w:num>
  <w:num w:numId="4">
    <w:abstractNumId w:val="10"/>
  </w:num>
  <w:num w:numId="5">
    <w:abstractNumId w:val="5"/>
  </w:num>
  <w:num w:numId="6">
    <w:abstractNumId w:val="4"/>
  </w:num>
  <w:num w:numId="7">
    <w:abstractNumId w:val="9"/>
  </w:num>
  <w:num w:numId="8">
    <w:abstractNumId w:val="11"/>
  </w:num>
  <w:num w:numId="9">
    <w:abstractNumId w:val="1"/>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FF"/>
    <w:rsid w:val="000347D2"/>
    <w:rsid w:val="00055CF9"/>
    <w:rsid w:val="0006123C"/>
    <w:rsid w:val="00064AE2"/>
    <w:rsid w:val="00070DA7"/>
    <w:rsid w:val="0008054D"/>
    <w:rsid w:val="000821C5"/>
    <w:rsid w:val="00094126"/>
    <w:rsid w:val="000958BC"/>
    <w:rsid w:val="000A0DEC"/>
    <w:rsid w:val="000A5896"/>
    <w:rsid w:val="000B6F0E"/>
    <w:rsid w:val="000D26C1"/>
    <w:rsid w:val="000D7475"/>
    <w:rsid w:val="000F3DE0"/>
    <w:rsid w:val="00103E90"/>
    <w:rsid w:val="001210CE"/>
    <w:rsid w:val="001702CC"/>
    <w:rsid w:val="001A5940"/>
    <w:rsid w:val="001A66DF"/>
    <w:rsid w:val="001C73FF"/>
    <w:rsid w:val="001E2555"/>
    <w:rsid w:val="001E4D64"/>
    <w:rsid w:val="001E6BE4"/>
    <w:rsid w:val="001F4001"/>
    <w:rsid w:val="002020D2"/>
    <w:rsid w:val="002167D5"/>
    <w:rsid w:val="0022206E"/>
    <w:rsid w:val="00253813"/>
    <w:rsid w:val="0025394D"/>
    <w:rsid w:val="00272969"/>
    <w:rsid w:val="00277189"/>
    <w:rsid w:val="0028163C"/>
    <w:rsid w:val="002B298A"/>
    <w:rsid w:val="002B5FFC"/>
    <w:rsid w:val="002B78D7"/>
    <w:rsid w:val="002E262C"/>
    <w:rsid w:val="002F3307"/>
    <w:rsid w:val="00303586"/>
    <w:rsid w:val="003055EA"/>
    <w:rsid w:val="003111C4"/>
    <w:rsid w:val="00334BBD"/>
    <w:rsid w:val="00335514"/>
    <w:rsid w:val="00337FB0"/>
    <w:rsid w:val="00352DE7"/>
    <w:rsid w:val="003829AC"/>
    <w:rsid w:val="003A151D"/>
    <w:rsid w:val="003B3B81"/>
    <w:rsid w:val="003D146F"/>
    <w:rsid w:val="003E126E"/>
    <w:rsid w:val="003E55A5"/>
    <w:rsid w:val="003E6BD5"/>
    <w:rsid w:val="003F59A8"/>
    <w:rsid w:val="004027DC"/>
    <w:rsid w:val="00410732"/>
    <w:rsid w:val="004122D5"/>
    <w:rsid w:val="00416521"/>
    <w:rsid w:val="004274FA"/>
    <w:rsid w:val="00443E20"/>
    <w:rsid w:val="00446341"/>
    <w:rsid w:val="0049668D"/>
    <w:rsid w:val="004B0F44"/>
    <w:rsid w:val="004D71EF"/>
    <w:rsid w:val="004E2BC3"/>
    <w:rsid w:val="004F4AFF"/>
    <w:rsid w:val="00504A4B"/>
    <w:rsid w:val="00506FDD"/>
    <w:rsid w:val="00515A13"/>
    <w:rsid w:val="005635E4"/>
    <w:rsid w:val="00594D1A"/>
    <w:rsid w:val="005D1E0E"/>
    <w:rsid w:val="00617AF9"/>
    <w:rsid w:val="006313C9"/>
    <w:rsid w:val="00647E99"/>
    <w:rsid w:val="00650A48"/>
    <w:rsid w:val="006905EA"/>
    <w:rsid w:val="0069075D"/>
    <w:rsid w:val="006A75A4"/>
    <w:rsid w:val="006C450E"/>
    <w:rsid w:val="006D05CA"/>
    <w:rsid w:val="006D5272"/>
    <w:rsid w:val="006D6B6D"/>
    <w:rsid w:val="006E05ED"/>
    <w:rsid w:val="006F458A"/>
    <w:rsid w:val="00710B93"/>
    <w:rsid w:val="00715501"/>
    <w:rsid w:val="007249A5"/>
    <w:rsid w:val="007308C5"/>
    <w:rsid w:val="00746665"/>
    <w:rsid w:val="00753015"/>
    <w:rsid w:val="00764FC1"/>
    <w:rsid w:val="00773C98"/>
    <w:rsid w:val="00776EEC"/>
    <w:rsid w:val="007807E8"/>
    <w:rsid w:val="00781F2C"/>
    <w:rsid w:val="007E1AA2"/>
    <w:rsid w:val="007E7389"/>
    <w:rsid w:val="007F4E3B"/>
    <w:rsid w:val="007F6328"/>
    <w:rsid w:val="00804B0D"/>
    <w:rsid w:val="008216C2"/>
    <w:rsid w:val="008277F4"/>
    <w:rsid w:val="00834343"/>
    <w:rsid w:val="008343F4"/>
    <w:rsid w:val="00843F4D"/>
    <w:rsid w:val="008552F9"/>
    <w:rsid w:val="00871AA1"/>
    <w:rsid w:val="008730E1"/>
    <w:rsid w:val="00874945"/>
    <w:rsid w:val="008775D8"/>
    <w:rsid w:val="0088110F"/>
    <w:rsid w:val="008A1D73"/>
    <w:rsid w:val="009158CB"/>
    <w:rsid w:val="00933297"/>
    <w:rsid w:val="009671B4"/>
    <w:rsid w:val="0098062A"/>
    <w:rsid w:val="00994FDA"/>
    <w:rsid w:val="009B58A9"/>
    <w:rsid w:val="009F209A"/>
    <w:rsid w:val="009F70B3"/>
    <w:rsid w:val="009F7720"/>
    <w:rsid w:val="00A05BA8"/>
    <w:rsid w:val="00A1432A"/>
    <w:rsid w:val="00A25285"/>
    <w:rsid w:val="00A2667F"/>
    <w:rsid w:val="00A26923"/>
    <w:rsid w:val="00A43239"/>
    <w:rsid w:val="00A604C2"/>
    <w:rsid w:val="00A63994"/>
    <w:rsid w:val="00A71BF6"/>
    <w:rsid w:val="00A92EEA"/>
    <w:rsid w:val="00A9563C"/>
    <w:rsid w:val="00AA2E02"/>
    <w:rsid w:val="00AB6308"/>
    <w:rsid w:val="00AC1623"/>
    <w:rsid w:val="00AC5DD3"/>
    <w:rsid w:val="00AE0698"/>
    <w:rsid w:val="00AE7542"/>
    <w:rsid w:val="00AF0A05"/>
    <w:rsid w:val="00AF5AEB"/>
    <w:rsid w:val="00B21310"/>
    <w:rsid w:val="00B249E2"/>
    <w:rsid w:val="00B30C67"/>
    <w:rsid w:val="00B443A1"/>
    <w:rsid w:val="00B50381"/>
    <w:rsid w:val="00B52D6D"/>
    <w:rsid w:val="00B7194D"/>
    <w:rsid w:val="00B930C9"/>
    <w:rsid w:val="00BB4816"/>
    <w:rsid w:val="00BC24A2"/>
    <w:rsid w:val="00BC563C"/>
    <w:rsid w:val="00BD7301"/>
    <w:rsid w:val="00BE02D7"/>
    <w:rsid w:val="00BF5979"/>
    <w:rsid w:val="00C01EF2"/>
    <w:rsid w:val="00C02AF9"/>
    <w:rsid w:val="00C10BEE"/>
    <w:rsid w:val="00C37303"/>
    <w:rsid w:val="00C627C1"/>
    <w:rsid w:val="00C77B20"/>
    <w:rsid w:val="00C82DF1"/>
    <w:rsid w:val="00C85F77"/>
    <w:rsid w:val="00C87884"/>
    <w:rsid w:val="00CB2955"/>
    <w:rsid w:val="00CB5057"/>
    <w:rsid w:val="00CD7AEF"/>
    <w:rsid w:val="00CE15CC"/>
    <w:rsid w:val="00CF4275"/>
    <w:rsid w:val="00D03526"/>
    <w:rsid w:val="00D1071E"/>
    <w:rsid w:val="00D95298"/>
    <w:rsid w:val="00D95ABD"/>
    <w:rsid w:val="00DB585B"/>
    <w:rsid w:val="00DD4158"/>
    <w:rsid w:val="00DE7C55"/>
    <w:rsid w:val="00DF4273"/>
    <w:rsid w:val="00E04D97"/>
    <w:rsid w:val="00E14F68"/>
    <w:rsid w:val="00E16E7B"/>
    <w:rsid w:val="00E43B0E"/>
    <w:rsid w:val="00E66278"/>
    <w:rsid w:val="00E663F4"/>
    <w:rsid w:val="00E9124E"/>
    <w:rsid w:val="00EA272E"/>
    <w:rsid w:val="00EA73D5"/>
    <w:rsid w:val="00EB5DE7"/>
    <w:rsid w:val="00EC0931"/>
    <w:rsid w:val="00ED4468"/>
    <w:rsid w:val="00ED5748"/>
    <w:rsid w:val="00EE7BAB"/>
    <w:rsid w:val="00F407AB"/>
    <w:rsid w:val="00F413FE"/>
    <w:rsid w:val="00F46230"/>
    <w:rsid w:val="00F561A0"/>
    <w:rsid w:val="00F56970"/>
    <w:rsid w:val="00F92F4D"/>
    <w:rsid w:val="00FA2476"/>
    <w:rsid w:val="00FB67B4"/>
    <w:rsid w:val="00FC105D"/>
    <w:rsid w:val="00FC534D"/>
    <w:rsid w:val="00FC7CF3"/>
    <w:rsid w:val="00FD007F"/>
    <w:rsid w:val="00FD0670"/>
    <w:rsid w:val="00FD15E0"/>
    <w:rsid w:val="00FF293B"/>
    <w:rsid w:val="00FF52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55A5"/>
    <w:pPr>
      <w:spacing w:after="200" w:line="276" w:lineRule="auto"/>
    </w:pPr>
    <w:rPr>
      <w:lang w:eastAsia="en-US"/>
    </w:rPr>
  </w:style>
  <w:style w:type="paragraph" w:styleId="Naslov1">
    <w:name w:val="heading 1"/>
    <w:basedOn w:val="Normal"/>
    <w:next w:val="Normal"/>
    <w:link w:val="Naslov1Char"/>
    <w:uiPriority w:val="99"/>
    <w:qFormat/>
    <w:rsid w:val="00A05BA8"/>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9"/>
    <w:qFormat/>
    <w:rsid w:val="00070DA7"/>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9"/>
    <w:qFormat/>
    <w:rsid w:val="00070DA7"/>
    <w:pPr>
      <w:keepNext/>
      <w:keepLines/>
      <w:spacing w:before="200" w:after="0"/>
      <w:outlineLvl w:val="2"/>
    </w:pPr>
    <w:rPr>
      <w:rFonts w:ascii="Cambria" w:eastAsia="Times New Roman" w:hAnsi="Cambria"/>
      <w:b/>
      <w:bCs/>
      <w:color w:val="4F81BD"/>
    </w:rPr>
  </w:style>
  <w:style w:type="paragraph" w:styleId="Naslov4">
    <w:name w:val="heading 4"/>
    <w:basedOn w:val="Normal"/>
    <w:next w:val="Normal"/>
    <w:link w:val="Naslov4Char"/>
    <w:uiPriority w:val="99"/>
    <w:qFormat/>
    <w:rsid w:val="00070DA7"/>
    <w:pPr>
      <w:keepNext/>
      <w:keepLines/>
      <w:spacing w:before="200" w:after="0"/>
      <w:outlineLvl w:val="3"/>
    </w:pPr>
    <w:rPr>
      <w:rFonts w:ascii="Cambria" w:eastAsia="Times New Roman" w:hAnsi="Cambria"/>
      <w:b/>
      <w:bCs/>
      <w:i/>
      <w:i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05BA8"/>
    <w:rPr>
      <w:rFonts w:ascii="Cambria" w:hAnsi="Cambria" w:cs="Times New Roman"/>
      <w:b/>
      <w:bCs/>
      <w:color w:val="365F91"/>
      <w:sz w:val="28"/>
      <w:szCs w:val="28"/>
    </w:rPr>
  </w:style>
  <w:style w:type="character" w:customStyle="1" w:styleId="Naslov2Char">
    <w:name w:val="Naslov 2 Char"/>
    <w:basedOn w:val="Zadanifontodlomka"/>
    <w:link w:val="Naslov2"/>
    <w:uiPriority w:val="99"/>
    <w:locked/>
    <w:rsid w:val="00070DA7"/>
    <w:rPr>
      <w:rFonts w:ascii="Cambria" w:hAnsi="Cambria" w:cs="Times New Roman"/>
      <w:b/>
      <w:bCs/>
      <w:color w:val="4F81BD"/>
      <w:sz w:val="26"/>
      <w:szCs w:val="26"/>
    </w:rPr>
  </w:style>
  <w:style w:type="character" w:customStyle="1" w:styleId="Naslov3Char">
    <w:name w:val="Naslov 3 Char"/>
    <w:basedOn w:val="Zadanifontodlomka"/>
    <w:link w:val="Naslov3"/>
    <w:uiPriority w:val="99"/>
    <w:locked/>
    <w:rsid w:val="00070DA7"/>
    <w:rPr>
      <w:rFonts w:ascii="Cambria" w:hAnsi="Cambria" w:cs="Times New Roman"/>
      <w:b/>
      <w:bCs/>
      <w:color w:val="4F81BD"/>
    </w:rPr>
  </w:style>
  <w:style w:type="character" w:customStyle="1" w:styleId="Naslov4Char">
    <w:name w:val="Naslov 4 Char"/>
    <w:basedOn w:val="Zadanifontodlomka"/>
    <w:link w:val="Naslov4"/>
    <w:uiPriority w:val="99"/>
    <w:locked/>
    <w:rsid w:val="00070DA7"/>
    <w:rPr>
      <w:rFonts w:ascii="Cambria" w:hAnsi="Cambria" w:cs="Times New Roman"/>
      <w:b/>
      <w:bCs/>
      <w:i/>
      <w:iCs/>
      <w:color w:val="4F81BD"/>
    </w:rPr>
  </w:style>
  <w:style w:type="paragraph" w:styleId="Zaglavlje">
    <w:name w:val="header"/>
    <w:basedOn w:val="Normal"/>
    <w:link w:val="ZaglavljeChar"/>
    <w:uiPriority w:val="99"/>
    <w:rsid w:val="001C73FF"/>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1C73FF"/>
    <w:rPr>
      <w:rFonts w:cs="Times New Roman"/>
    </w:rPr>
  </w:style>
  <w:style w:type="paragraph" w:styleId="Podnoje">
    <w:name w:val="footer"/>
    <w:basedOn w:val="Normal"/>
    <w:link w:val="PodnojeChar"/>
    <w:uiPriority w:val="99"/>
    <w:rsid w:val="001C73FF"/>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1C73FF"/>
    <w:rPr>
      <w:rFonts w:cs="Times New Roman"/>
    </w:rPr>
  </w:style>
  <w:style w:type="paragraph" w:styleId="Tekstbalonia">
    <w:name w:val="Balloon Text"/>
    <w:basedOn w:val="Normal"/>
    <w:link w:val="TekstbaloniaChar"/>
    <w:uiPriority w:val="99"/>
    <w:semiHidden/>
    <w:rsid w:val="001C73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C73FF"/>
    <w:rPr>
      <w:rFonts w:ascii="Tahoma" w:hAnsi="Tahoma" w:cs="Tahoma"/>
      <w:sz w:val="16"/>
      <w:szCs w:val="16"/>
    </w:rPr>
  </w:style>
  <w:style w:type="paragraph" w:styleId="Tekstfusnote">
    <w:name w:val="footnote text"/>
    <w:basedOn w:val="Normal"/>
    <w:link w:val="TekstfusnoteChar"/>
    <w:rsid w:val="001C73FF"/>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1C73FF"/>
    <w:rPr>
      <w:rFonts w:cs="Times New Roman"/>
      <w:sz w:val="20"/>
      <w:szCs w:val="20"/>
    </w:rPr>
  </w:style>
  <w:style w:type="character" w:styleId="Referencafusnote">
    <w:name w:val="footnote reference"/>
    <w:basedOn w:val="Zadanifontodlomka"/>
    <w:rsid w:val="001C73FF"/>
    <w:rPr>
      <w:rFonts w:cs="Times New Roman"/>
      <w:vertAlign w:val="superscript"/>
    </w:rPr>
  </w:style>
  <w:style w:type="paragraph" w:styleId="Podnaslov">
    <w:name w:val="Subtitle"/>
    <w:basedOn w:val="Normal"/>
    <w:next w:val="Normal"/>
    <w:link w:val="PodnaslovChar"/>
    <w:uiPriority w:val="99"/>
    <w:qFormat/>
    <w:rsid w:val="00A05BA8"/>
    <w:pPr>
      <w:numPr>
        <w:ilvl w:val="1"/>
      </w:numPr>
    </w:pPr>
    <w:rPr>
      <w:rFonts w:ascii="Cambria" w:eastAsia="Times New Roman" w:hAnsi="Cambria"/>
      <w:i/>
      <w:iCs/>
      <w:color w:val="4F81BD"/>
      <w:spacing w:val="15"/>
      <w:sz w:val="24"/>
      <w:szCs w:val="24"/>
    </w:rPr>
  </w:style>
  <w:style w:type="character" w:customStyle="1" w:styleId="PodnaslovChar">
    <w:name w:val="Podnaslov Char"/>
    <w:basedOn w:val="Zadanifontodlomka"/>
    <w:link w:val="Podnaslov"/>
    <w:uiPriority w:val="99"/>
    <w:locked/>
    <w:rsid w:val="00A05BA8"/>
    <w:rPr>
      <w:rFonts w:ascii="Cambria" w:hAnsi="Cambria" w:cs="Times New Roman"/>
      <w:i/>
      <w:iCs/>
      <w:color w:val="4F81BD"/>
      <w:spacing w:val="15"/>
      <w:sz w:val="24"/>
      <w:szCs w:val="24"/>
    </w:rPr>
  </w:style>
  <w:style w:type="character" w:styleId="Neupadljivoisticanje">
    <w:name w:val="Subtle Emphasis"/>
    <w:basedOn w:val="Zadanifontodlomka"/>
    <w:uiPriority w:val="99"/>
    <w:qFormat/>
    <w:rsid w:val="00A05BA8"/>
    <w:rPr>
      <w:rFonts w:cs="Times New Roman"/>
      <w:i/>
      <w:iCs/>
      <w:color w:val="808080"/>
    </w:rPr>
  </w:style>
  <w:style w:type="paragraph" w:styleId="Naslov">
    <w:name w:val="Title"/>
    <w:basedOn w:val="Normal"/>
    <w:next w:val="Normal"/>
    <w:link w:val="NaslovChar"/>
    <w:uiPriority w:val="99"/>
    <w:qFormat/>
    <w:rsid w:val="00A05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aslovChar">
    <w:name w:val="Naslov Char"/>
    <w:basedOn w:val="Zadanifontodlomka"/>
    <w:link w:val="Naslov"/>
    <w:uiPriority w:val="99"/>
    <w:locked/>
    <w:rsid w:val="00A05BA8"/>
    <w:rPr>
      <w:rFonts w:ascii="Cambria" w:hAnsi="Cambria" w:cs="Times New Roman"/>
      <w:color w:val="17365D"/>
      <w:spacing w:val="5"/>
      <w:kern w:val="28"/>
      <w:sz w:val="52"/>
      <w:szCs w:val="52"/>
    </w:rPr>
  </w:style>
  <w:style w:type="paragraph" w:styleId="Odlomakpopisa">
    <w:name w:val="List Paragraph"/>
    <w:basedOn w:val="Normal"/>
    <w:qFormat/>
    <w:rsid w:val="00E43B0E"/>
    <w:pPr>
      <w:ind w:left="720"/>
      <w:contextualSpacing/>
    </w:pPr>
  </w:style>
  <w:style w:type="character" w:styleId="Referencakomentara">
    <w:name w:val="annotation reference"/>
    <w:basedOn w:val="Zadanifontodlomka"/>
    <w:uiPriority w:val="99"/>
    <w:semiHidden/>
    <w:rsid w:val="000821C5"/>
    <w:rPr>
      <w:rFonts w:cs="Times New Roman"/>
      <w:sz w:val="16"/>
      <w:szCs w:val="16"/>
    </w:rPr>
  </w:style>
  <w:style w:type="paragraph" w:styleId="Tekstkomentara">
    <w:name w:val="annotation text"/>
    <w:basedOn w:val="Normal"/>
    <w:link w:val="TekstkomentaraChar"/>
    <w:uiPriority w:val="99"/>
    <w:semiHidden/>
    <w:rsid w:val="000821C5"/>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0821C5"/>
    <w:rPr>
      <w:rFonts w:cs="Times New Roman"/>
      <w:sz w:val="20"/>
      <w:szCs w:val="20"/>
    </w:rPr>
  </w:style>
  <w:style w:type="paragraph" w:styleId="Predmetkomentara">
    <w:name w:val="annotation subject"/>
    <w:basedOn w:val="Tekstkomentara"/>
    <w:next w:val="Tekstkomentara"/>
    <w:link w:val="PredmetkomentaraChar"/>
    <w:uiPriority w:val="99"/>
    <w:semiHidden/>
    <w:rsid w:val="000821C5"/>
    <w:rPr>
      <w:b/>
      <w:bCs/>
    </w:rPr>
  </w:style>
  <w:style w:type="character" w:customStyle="1" w:styleId="PredmetkomentaraChar">
    <w:name w:val="Predmet komentara Char"/>
    <w:basedOn w:val="TekstkomentaraChar"/>
    <w:link w:val="Predmetkomentara"/>
    <w:uiPriority w:val="99"/>
    <w:semiHidden/>
    <w:locked/>
    <w:rsid w:val="000821C5"/>
    <w:rPr>
      <w:rFonts w:cs="Times New Roman"/>
      <w:b/>
      <w:bCs/>
      <w:sz w:val="20"/>
      <w:szCs w:val="20"/>
    </w:rPr>
  </w:style>
  <w:style w:type="table" w:styleId="Reetkatablice">
    <w:name w:val="Table Grid"/>
    <w:basedOn w:val="Obinatablica"/>
    <w:uiPriority w:val="99"/>
    <w:rsid w:val="003829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unaprijedoblikovano">
    <w:name w:val="HTML Preformatted"/>
    <w:basedOn w:val="Normal"/>
    <w:link w:val="HTMLunaprijedoblikovanoChar"/>
    <w:uiPriority w:val="99"/>
    <w:rsid w:val="0009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hr-HR"/>
    </w:rPr>
  </w:style>
  <w:style w:type="character" w:customStyle="1" w:styleId="HTMLunaprijedoblikovanoChar">
    <w:name w:val="HTML unaprijed oblikovano Char"/>
    <w:basedOn w:val="Zadanifontodlomka"/>
    <w:link w:val="HTMLunaprijedoblikovano"/>
    <w:uiPriority w:val="99"/>
    <w:locked/>
    <w:rsid w:val="00094126"/>
    <w:rPr>
      <w:rFonts w:ascii="Courier New" w:hAnsi="Courier New" w:cs="Courier New"/>
      <w:color w:val="000000"/>
      <w:sz w:val="20"/>
      <w:szCs w:val="20"/>
      <w:lang w:eastAsia="hr-HR"/>
    </w:rPr>
  </w:style>
  <w:style w:type="character" w:customStyle="1" w:styleId="apple-converted-space">
    <w:name w:val="apple-converted-space"/>
    <w:basedOn w:val="Zadanifontodlomka"/>
    <w:uiPriority w:val="99"/>
    <w:rsid w:val="00070DA7"/>
    <w:rPr>
      <w:rFonts w:cs="Times New Roman"/>
    </w:rPr>
  </w:style>
  <w:style w:type="paragraph" w:styleId="TOCNaslov">
    <w:name w:val="TOC Heading"/>
    <w:basedOn w:val="Naslov1"/>
    <w:next w:val="Normal"/>
    <w:uiPriority w:val="39"/>
    <w:qFormat/>
    <w:rsid w:val="00AC1623"/>
    <w:pPr>
      <w:outlineLvl w:val="9"/>
    </w:pPr>
    <w:rPr>
      <w:lang w:val="en-US"/>
    </w:rPr>
  </w:style>
  <w:style w:type="paragraph" w:styleId="Sadraj1">
    <w:name w:val="toc 1"/>
    <w:basedOn w:val="Normal"/>
    <w:next w:val="Normal"/>
    <w:autoRedefine/>
    <w:uiPriority w:val="39"/>
    <w:rsid w:val="00AC1623"/>
    <w:pPr>
      <w:spacing w:after="100"/>
    </w:pPr>
  </w:style>
  <w:style w:type="paragraph" w:styleId="Sadraj2">
    <w:name w:val="toc 2"/>
    <w:basedOn w:val="Normal"/>
    <w:next w:val="Normal"/>
    <w:autoRedefine/>
    <w:uiPriority w:val="39"/>
    <w:rsid w:val="00AC1623"/>
    <w:pPr>
      <w:spacing w:after="100"/>
      <w:ind w:left="220"/>
    </w:pPr>
  </w:style>
  <w:style w:type="paragraph" w:styleId="Sadraj3">
    <w:name w:val="toc 3"/>
    <w:basedOn w:val="Normal"/>
    <w:next w:val="Normal"/>
    <w:autoRedefine/>
    <w:uiPriority w:val="39"/>
    <w:rsid w:val="00AC1623"/>
    <w:pPr>
      <w:spacing w:after="100"/>
      <w:ind w:left="440"/>
    </w:pPr>
  </w:style>
  <w:style w:type="character" w:styleId="Hiperveza">
    <w:name w:val="Hyperlink"/>
    <w:basedOn w:val="Zadanifontodlomka"/>
    <w:uiPriority w:val="99"/>
    <w:rsid w:val="00AC1623"/>
    <w:rPr>
      <w:rFonts w:cs="Times New Roman"/>
      <w:color w:val="0000FF"/>
      <w:u w:val="single"/>
    </w:rPr>
  </w:style>
  <w:style w:type="character" w:customStyle="1" w:styleId="FootnoteReference1">
    <w:name w:val="Footnote Reference1"/>
    <w:rsid w:val="000A0DEC"/>
    <w:rPr>
      <w:vertAlign w:val="superscript"/>
    </w:rPr>
  </w:style>
  <w:style w:type="character" w:customStyle="1" w:styleId="FootnoteCharacters">
    <w:name w:val="Footnote Characters"/>
    <w:rsid w:val="000A0DEC"/>
  </w:style>
  <w:style w:type="paragraph" w:customStyle="1" w:styleId="FootnoteText1">
    <w:name w:val="Footnote Text1"/>
    <w:basedOn w:val="Normal"/>
    <w:rsid w:val="000A0DEC"/>
    <w:pPr>
      <w:suppressAutoHyphens/>
      <w:spacing w:after="0" w:line="100" w:lineRule="atLeast"/>
    </w:pPr>
    <w:rPr>
      <w:rFonts w:ascii="Liberation Serif" w:eastAsia="Liberation Sans" w:hAnsi="Liberation Serif" w:cs="Liberation Sans"/>
      <w:kern w:val="1"/>
      <w:sz w:val="20"/>
      <w:szCs w:val="20"/>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55A5"/>
    <w:pPr>
      <w:spacing w:after="200" w:line="276" w:lineRule="auto"/>
    </w:pPr>
    <w:rPr>
      <w:lang w:eastAsia="en-US"/>
    </w:rPr>
  </w:style>
  <w:style w:type="paragraph" w:styleId="Naslov1">
    <w:name w:val="heading 1"/>
    <w:basedOn w:val="Normal"/>
    <w:next w:val="Normal"/>
    <w:link w:val="Naslov1Char"/>
    <w:uiPriority w:val="99"/>
    <w:qFormat/>
    <w:rsid w:val="00A05BA8"/>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9"/>
    <w:qFormat/>
    <w:rsid w:val="00070DA7"/>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9"/>
    <w:qFormat/>
    <w:rsid w:val="00070DA7"/>
    <w:pPr>
      <w:keepNext/>
      <w:keepLines/>
      <w:spacing w:before="200" w:after="0"/>
      <w:outlineLvl w:val="2"/>
    </w:pPr>
    <w:rPr>
      <w:rFonts w:ascii="Cambria" w:eastAsia="Times New Roman" w:hAnsi="Cambria"/>
      <w:b/>
      <w:bCs/>
      <w:color w:val="4F81BD"/>
    </w:rPr>
  </w:style>
  <w:style w:type="paragraph" w:styleId="Naslov4">
    <w:name w:val="heading 4"/>
    <w:basedOn w:val="Normal"/>
    <w:next w:val="Normal"/>
    <w:link w:val="Naslov4Char"/>
    <w:uiPriority w:val="99"/>
    <w:qFormat/>
    <w:rsid w:val="00070DA7"/>
    <w:pPr>
      <w:keepNext/>
      <w:keepLines/>
      <w:spacing w:before="200" w:after="0"/>
      <w:outlineLvl w:val="3"/>
    </w:pPr>
    <w:rPr>
      <w:rFonts w:ascii="Cambria" w:eastAsia="Times New Roman" w:hAnsi="Cambria"/>
      <w:b/>
      <w:bCs/>
      <w:i/>
      <w:i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05BA8"/>
    <w:rPr>
      <w:rFonts w:ascii="Cambria" w:hAnsi="Cambria" w:cs="Times New Roman"/>
      <w:b/>
      <w:bCs/>
      <w:color w:val="365F91"/>
      <w:sz w:val="28"/>
      <w:szCs w:val="28"/>
    </w:rPr>
  </w:style>
  <w:style w:type="character" w:customStyle="1" w:styleId="Naslov2Char">
    <w:name w:val="Naslov 2 Char"/>
    <w:basedOn w:val="Zadanifontodlomka"/>
    <w:link w:val="Naslov2"/>
    <w:uiPriority w:val="99"/>
    <w:locked/>
    <w:rsid w:val="00070DA7"/>
    <w:rPr>
      <w:rFonts w:ascii="Cambria" w:hAnsi="Cambria" w:cs="Times New Roman"/>
      <w:b/>
      <w:bCs/>
      <w:color w:val="4F81BD"/>
      <w:sz w:val="26"/>
      <w:szCs w:val="26"/>
    </w:rPr>
  </w:style>
  <w:style w:type="character" w:customStyle="1" w:styleId="Naslov3Char">
    <w:name w:val="Naslov 3 Char"/>
    <w:basedOn w:val="Zadanifontodlomka"/>
    <w:link w:val="Naslov3"/>
    <w:uiPriority w:val="99"/>
    <w:locked/>
    <w:rsid w:val="00070DA7"/>
    <w:rPr>
      <w:rFonts w:ascii="Cambria" w:hAnsi="Cambria" w:cs="Times New Roman"/>
      <w:b/>
      <w:bCs/>
      <w:color w:val="4F81BD"/>
    </w:rPr>
  </w:style>
  <w:style w:type="character" w:customStyle="1" w:styleId="Naslov4Char">
    <w:name w:val="Naslov 4 Char"/>
    <w:basedOn w:val="Zadanifontodlomka"/>
    <w:link w:val="Naslov4"/>
    <w:uiPriority w:val="99"/>
    <w:locked/>
    <w:rsid w:val="00070DA7"/>
    <w:rPr>
      <w:rFonts w:ascii="Cambria" w:hAnsi="Cambria" w:cs="Times New Roman"/>
      <w:b/>
      <w:bCs/>
      <w:i/>
      <w:iCs/>
      <w:color w:val="4F81BD"/>
    </w:rPr>
  </w:style>
  <w:style w:type="paragraph" w:styleId="Zaglavlje">
    <w:name w:val="header"/>
    <w:basedOn w:val="Normal"/>
    <w:link w:val="ZaglavljeChar"/>
    <w:uiPriority w:val="99"/>
    <w:rsid w:val="001C73FF"/>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1C73FF"/>
    <w:rPr>
      <w:rFonts w:cs="Times New Roman"/>
    </w:rPr>
  </w:style>
  <w:style w:type="paragraph" w:styleId="Podnoje">
    <w:name w:val="footer"/>
    <w:basedOn w:val="Normal"/>
    <w:link w:val="PodnojeChar"/>
    <w:uiPriority w:val="99"/>
    <w:rsid w:val="001C73FF"/>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1C73FF"/>
    <w:rPr>
      <w:rFonts w:cs="Times New Roman"/>
    </w:rPr>
  </w:style>
  <w:style w:type="paragraph" w:styleId="Tekstbalonia">
    <w:name w:val="Balloon Text"/>
    <w:basedOn w:val="Normal"/>
    <w:link w:val="TekstbaloniaChar"/>
    <w:uiPriority w:val="99"/>
    <w:semiHidden/>
    <w:rsid w:val="001C73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C73FF"/>
    <w:rPr>
      <w:rFonts w:ascii="Tahoma" w:hAnsi="Tahoma" w:cs="Tahoma"/>
      <w:sz w:val="16"/>
      <w:szCs w:val="16"/>
    </w:rPr>
  </w:style>
  <w:style w:type="paragraph" w:styleId="Tekstfusnote">
    <w:name w:val="footnote text"/>
    <w:basedOn w:val="Normal"/>
    <w:link w:val="TekstfusnoteChar"/>
    <w:rsid w:val="001C73FF"/>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1C73FF"/>
    <w:rPr>
      <w:rFonts w:cs="Times New Roman"/>
      <w:sz w:val="20"/>
      <w:szCs w:val="20"/>
    </w:rPr>
  </w:style>
  <w:style w:type="character" w:styleId="Referencafusnote">
    <w:name w:val="footnote reference"/>
    <w:basedOn w:val="Zadanifontodlomka"/>
    <w:rsid w:val="001C73FF"/>
    <w:rPr>
      <w:rFonts w:cs="Times New Roman"/>
      <w:vertAlign w:val="superscript"/>
    </w:rPr>
  </w:style>
  <w:style w:type="paragraph" w:styleId="Podnaslov">
    <w:name w:val="Subtitle"/>
    <w:basedOn w:val="Normal"/>
    <w:next w:val="Normal"/>
    <w:link w:val="PodnaslovChar"/>
    <w:uiPriority w:val="99"/>
    <w:qFormat/>
    <w:rsid w:val="00A05BA8"/>
    <w:pPr>
      <w:numPr>
        <w:ilvl w:val="1"/>
      </w:numPr>
    </w:pPr>
    <w:rPr>
      <w:rFonts w:ascii="Cambria" w:eastAsia="Times New Roman" w:hAnsi="Cambria"/>
      <w:i/>
      <w:iCs/>
      <w:color w:val="4F81BD"/>
      <w:spacing w:val="15"/>
      <w:sz w:val="24"/>
      <w:szCs w:val="24"/>
    </w:rPr>
  </w:style>
  <w:style w:type="character" w:customStyle="1" w:styleId="PodnaslovChar">
    <w:name w:val="Podnaslov Char"/>
    <w:basedOn w:val="Zadanifontodlomka"/>
    <w:link w:val="Podnaslov"/>
    <w:uiPriority w:val="99"/>
    <w:locked/>
    <w:rsid w:val="00A05BA8"/>
    <w:rPr>
      <w:rFonts w:ascii="Cambria" w:hAnsi="Cambria" w:cs="Times New Roman"/>
      <w:i/>
      <w:iCs/>
      <w:color w:val="4F81BD"/>
      <w:spacing w:val="15"/>
      <w:sz w:val="24"/>
      <w:szCs w:val="24"/>
    </w:rPr>
  </w:style>
  <w:style w:type="character" w:styleId="Neupadljivoisticanje">
    <w:name w:val="Subtle Emphasis"/>
    <w:basedOn w:val="Zadanifontodlomka"/>
    <w:uiPriority w:val="99"/>
    <w:qFormat/>
    <w:rsid w:val="00A05BA8"/>
    <w:rPr>
      <w:rFonts w:cs="Times New Roman"/>
      <w:i/>
      <w:iCs/>
      <w:color w:val="808080"/>
    </w:rPr>
  </w:style>
  <w:style w:type="paragraph" w:styleId="Naslov">
    <w:name w:val="Title"/>
    <w:basedOn w:val="Normal"/>
    <w:next w:val="Normal"/>
    <w:link w:val="NaslovChar"/>
    <w:uiPriority w:val="99"/>
    <w:qFormat/>
    <w:rsid w:val="00A05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aslovChar">
    <w:name w:val="Naslov Char"/>
    <w:basedOn w:val="Zadanifontodlomka"/>
    <w:link w:val="Naslov"/>
    <w:uiPriority w:val="99"/>
    <w:locked/>
    <w:rsid w:val="00A05BA8"/>
    <w:rPr>
      <w:rFonts w:ascii="Cambria" w:hAnsi="Cambria" w:cs="Times New Roman"/>
      <w:color w:val="17365D"/>
      <w:spacing w:val="5"/>
      <w:kern w:val="28"/>
      <w:sz w:val="52"/>
      <w:szCs w:val="52"/>
    </w:rPr>
  </w:style>
  <w:style w:type="paragraph" w:styleId="Odlomakpopisa">
    <w:name w:val="List Paragraph"/>
    <w:basedOn w:val="Normal"/>
    <w:qFormat/>
    <w:rsid w:val="00E43B0E"/>
    <w:pPr>
      <w:ind w:left="720"/>
      <w:contextualSpacing/>
    </w:pPr>
  </w:style>
  <w:style w:type="character" w:styleId="Referencakomentara">
    <w:name w:val="annotation reference"/>
    <w:basedOn w:val="Zadanifontodlomka"/>
    <w:uiPriority w:val="99"/>
    <w:semiHidden/>
    <w:rsid w:val="000821C5"/>
    <w:rPr>
      <w:rFonts w:cs="Times New Roman"/>
      <w:sz w:val="16"/>
      <w:szCs w:val="16"/>
    </w:rPr>
  </w:style>
  <w:style w:type="paragraph" w:styleId="Tekstkomentara">
    <w:name w:val="annotation text"/>
    <w:basedOn w:val="Normal"/>
    <w:link w:val="TekstkomentaraChar"/>
    <w:uiPriority w:val="99"/>
    <w:semiHidden/>
    <w:rsid w:val="000821C5"/>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0821C5"/>
    <w:rPr>
      <w:rFonts w:cs="Times New Roman"/>
      <w:sz w:val="20"/>
      <w:szCs w:val="20"/>
    </w:rPr>
  </w:style>
  <w:style w:type="paragraph" w:styleId="Predmetkomentara">
    <w:name w:val="annotation subject"/>
    <w:basedOn w:val="Tekstkomentara"/>
    <w:next w:val="Tekstkomentara"/>
    <w:link w:val="PredmetkomentaraChar"/>
    <w:uiPriority w:val="99"/>
    <w:semiHidden/>
    <w:rsid w:val="000821C5"/>
    <w:rPr>
      <w:b/>
      <w:bCs/>
    </w:rPr>
  </w:style>
  <w:style w:type="character" w:customStyle="1" w:styleId="PredmetkomentaraChar">
    <w:name w:val="Predmet komentara Char"/>
    <w:basedOn w:val="TekstkomentaraChar"/>
    <w:link w:val="Predmetkomentara"/>
    <w:uiPriority w:val="99"/>
    <w:semiHidden/>
    <w:locked/>
    <w:rsid w:val="000821C5"/>
    <w:rPr>
      <w:rFonts w:cs="Times New Roman"/>
      <w:b/>
      <w:bCs/>
      <w:sz w:val="20"/>
      <w:szCs w:val="20"/>
    </w:rPr>
  </w:style>
  <w:style w:type="table" w:styleId="Reetkatablice">
    <w:name w:val="Table Grid"/>
    <w:basedOn w:val="Obinatablica"/>
    <w:uiPriority w:val="99"/>
    <w:rsid w:val="003829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unaprijedoblikovano">
    <w:name w:val="HTML Preformatted"/>
    <w:basedOn w:val="Normal"/>
    <w:link w:val="HTMLunaprijedoblikovanoChar"/>
    <w:uiPriority w:val="99"/>
    <w:rsid w:val="0009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hr-HR"/>
    </w:rPr>
  </w:style>
  <w:style w:type="character" w:customStyle="1" w:styleId="HTMLunaprijedoblikovanoChar">
    <w:name w:val="HTML unaprijed oblikovano Char"/>
    <w:basedOn w:val="Zadanifontodlomka"/>
    <w:link w:val="HTMLunaprijedoblikovano"/>
    <w:uiPriority w:val="99"/>
    <w:locked/>
    <w:rsid w:val="00094126"/>
    <w:rPr>
      <w:rFonts w:ascii="Courier New" w:hAnsi="Courier New" w:cs="Courier New"/>
      <w:color w:val="000000"/>
      <w:sz w:val="20"/>
      <w:szCs w:val="20"/>
      <w:lang w:eastAsia="hr-HR"/>
    </w:rPr>
  </w:style>
  <w:style w:type="character" w:customStyle="1" w:styleId="apple-converted-space">
    <w:name w:val="apple-converted-space"/>
    <w:basedOn w:val="Zadanifontodlomka"/>
    <w:uiPriority w:val="99"/>
    <w:rsid w:val="00070DA7"/>
    <w:rPr>
      <w:rFonts w:cs="Times New Roman"/>
    </w:rPr>
  </w:style>
  <w:style w:type="paragraph" w:styleId="TOCNaslov">
    <w:name w:val="TOC Heading"/>
    <w:basedOn w:val="Naslov1"/>
    <w:next w:val="Normal"/>
    <w:uiPriority w:val="39"/>
    <w:qFormat/>
    <w:rsid w:val="00AC1623"/>
    <w:pPr>
      <w:outlineLvl w:val="9"/>
    </w:pPr>
    <w:rPr>
      <w:lang w:val="en-US"/>
    </w:rPr>
  </w:style>
  <w:style w:type="paragraph" w:styleId="Sadraj1">
    <w:name w:val="toc 1"/>
    <w:basedOn w:val="Normal"/>
    <w:next w:val="Normal"/>
    <w:autoRedefine/>
    <w:uiPriority w:val="39"/>
    <w:rsid w:val="00AC1623"/>
    <w:pPr>
      <w:spacing w:after="100"/>
    </w:pPr>
  </w:style>
  <w:style w:type="paragraph" w:styleId="Sadraj2">
    <w:name w:val="toc 2"/>
    <w:basedOn w:val="Normal"/>
    <w:next w:val="Normal"/>
    <w:autoRedefine/>
    <w:uiPriority w:val="39"/>
    <w:rsid w:val="00AC1623"/>
    <w:pPr>
      <w:spacing w:after="100"/>
      <w:ind w:left="220"/>
    </w:pPr>
  </w:style>
  <w:style w:type="paragraph" w:styleId="Sadraj3">
    <w:name w:val="toc 3"/>
    <w:basedOn w:val="Normal"/>
    <w:next w:val="Normal"/>
    <w:autoRedefine/>
    <w:uiPriority w:val="39"/>
    <w:rsid w:val="00AC1623"/>
    <w:pPr>
      <w:spacing w:after="100"/>
      <w:ind w:left="440"/>
    </w:pPr>
  </w:style>
  <w:style w:type="character" w:styleId="Hiperveza">
    <w:name w:val="Hyperlink"/>
    <w:basedOn w:val="Zadanifontodlomka"/>
    <w:uiPriority w:val="99"/>
    <w:rsid w:val="00AC1623"/>
    <w:rPr>
      <w:rFonts w:cs="Times New Roman"/>
      <w:color w:val="0000FF"/>
      <w:u w:val="single"/>
    </w:rPr>
  </w:style>
  <w:style w:type="character" w:customStyle="1" w:styleId="FootnoteReference1">
    <w:name w:val="Footnote Reference1"/>
    <w:rsid w:val="000A0DEC"/>
    <w:rPr>
      <w:vertAlign w:val="superscript"/>
    </w:rPr>
  </w:style>
  <w:style w:type="character" w:customStyle="1" w:styleId="FootnoteCharacters">
    <w:name w:val="Footnote Characters"/>
    <w:rsid w:val="000A0DEC"/>
  </w:style>
  <w:style w:type="paragraph" w:customStyle="1" w:styleId="FootnoteText1">
    <w:name w:val="Footnote Text1"/>
    <w:basedOn w:val="Normal"/>
    <w:rsid w:val="000A0DEC"/>
    <w:pPr>
      <w:suppressAutoHyphens/>
      <w:spacing w:after="0" w:line="100" w:lineRule="atLeast"/>
    </w:pPr>
    <w:rPr>
      <w:rFonts w:ascii="Liberation Serif" w:eastAsia="Liberation Sans" w:hAnsi="Liberation Serif" w:cs="Liberation Sans"/>
      <w:kern w:val="1"/>
      <w:sz w:val="20"/>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6842">
      <w:bodyDiv w:val="1"/>
      <w:marLeft w:val="0"/>
      <w:marRight w:val="0"/>
      <w:marTop w:val="0"/>
      <w:marBottom w:val="0"/>
      <w:divBdr>
        <w:top w:val="none" w:sz="0" w:space="0" w:color="auto"/>
        <w:left w:val="none" w:sz="0" w:space="0" w:color="auto"/>
        <w:bottom w:val="none" w:sz="0" w:space="0" w:color="auto"/>
        <w:right w:val="none" w:sz="0" w:space="0" w:color="auto"/>
      </w:divBdr>
    </w:div>
    <w:div w:id="198015200">
      <w:bodyDiv w:val="1"/>
      <w:marLeft w:val="0"/>
      <w:marRight w:val="0"/>
      <w:marTop w:val="0"/>
      <w:marBottom w:val="0"/>
      <w:divBdr>
        <w:top w:val="none" w:sz="0" w:space="0" w:color="auto"/>
        <w:left w:val="none" w:sz="0" w:space="0" w:color="auto"/>
        <w:bottom w:val="none" w:sz="0" w:space="0" w:color="auto"/>
        <w:right w:val="none" w:sz="0" w:space="0" w:color="auto"/>
      </w:divBdr>
    </w:div>
    <w:div w:id="204878150">
      <w:bodyDiv w:val="1"/>
      <w:marLeft w:val="0"/>
      <w:marRight w:val="0"/>
      <w:marTop w:val="0"/>
      <w:marBottom w:val="0"/>
      <w:divBdr>
        <w:top w:val="none" w:sz="0" w:space="0" w:color="auto"/>
        <w:left w:val="none" w:sz="0" w:space="0" w:color="auto"/>
        <w:bottom w:val="none" w:sz="0" w:space="0" w:color="auto"/>
        <w:right w:val="none" w:sz="0" w:space="0" w:color="auto"/>
      </w:divBdr>
    </w:div>
    <w:div w:id="411902028">
      <w:bodyDiv w:val="1"/>
      <w:marLeft w:val="0"/>
      <w:marRight w:val="0"/>
      <w:marTop w:val="0"/>
      <w:marBottom w:val="0"/>
      <w:divBdr>
        <w:top w:val="none" w:sz="0" w:space="0" w:color="auto"/>
        <w:left w:val="none" w:sz="0" w:space="0" w:color="auto"/>
        <w:bottom w:val="none" w:sz="0" w:space="0" w:color="auto"/>
        <w:right w:val="none" w:sz="0" w:space="0" w:color="auto"/>
      </w:divBdr>
    </w:div>
    <w:div w:id="463081232">
      <w:bodyDiv w:val="1"/>
      <w:marLeft w:val="0"/>
      <w:marRight w:val="0"/>
      <w:marTop w:val="0"/>
      <w:marBottom w:val="0"/>
      <w:divBdr>
        <w:top w:val="none" w:sz="0" w:space="0" w:color="auto"/>
        <w:left w:val="none" w:sz="0" w:space="0" w:color="auto"/>
        <w:bottom w:val="none" w:sz="0" w:space="0" w:color="auto"/>
        <w:right w:val="none" w:sz="0" w:space="0" w:color="auto"/>
      </w:divBdr>
    </w:div>
    <w:div w:id="539243182">
      <w:bodyDiv w:val="1"/>
      <w:marLeft w:val="0"/>
      <w:marRight w:val="0"/>
      <w:marTop w:val="0"/>
      <w:marBottom w:val="0"/>
      <w:divBdr>
        <w:top w:val="none" w:sz="0" w:space="0" w:color="auto"/>
        <w:left w:val="none" w:sz="0" w:space="0" w:color="auto"/>
        <w:bottom w:val="none" w:sz="0" w:space="0" w:color="auto"/>
        <w:right w:val="none" w:sz="0" w:space="0" w:color="auto"/>
      </w:divBdr>
    </w:div>
    <w:div w:id="571158030">
      <w:bodyDiv w:val="1"/>
      <w:marLeft w:val="0"/>
      <w:marRight w:val="0"/>
      <w:marTop w:val="0"/>
      <w:marBottom w:val="0"/>
      <w:divBdr>
        <w:top w:val="none" w:sz="0" w:space="0" w:color="auto"/>
        <w:left w:val="none" w:sz="0" w:space="0" w:color="auto"/>
        <w:bottom w:val="none" w:sz="0" w:space="0" w:color="auto"/>
        <w:right w:val="none" w:sz="0" w:space="0" w:color="auto"/>
      </w:divBdr>
    </w:div>
    <w:div w:id="836001404">
      <w:bodyDiv w:val="1"/>
      <w:marLeft w:val="0"/>
      <w:marRight w:val="0"/>
      <w:marTop w:val="0"/>
      <w:marBottom w:val="0"/>
      <w:divBdr>
        <w:top w:val="none" w:sz="0" w:space="0" w:color="auto"/>
        <w:left w:val="none" w:sz="0" w:space="0" w:color="auto"/>
        <w:bottom w:val="none" w:sz="0" w:space="0" w:color="auto"/>
        <w:right w:val="none" w:sz="0" w:space="0" w:color="auto"/>
      </w:divBdr>
    </w:div>
    <w:div w:id="948972579">
      <w:bodyDiv w:val="1"/>
      <w:marLeft w:val="0"/>
      <w:marRight w:val="0"/>
      <w:marTop w:val="0"/>
      <w:marBottom w:val="0"/>
      <w:divBdr>
        <w:top w:val="none" w:sz="0" w:space="0" w:color="auto"/>
        <w:left w:val="none" w:sz="0" w:space="0" w:color="auto"/>
        <w:bottom w:val="none" w:sz="0" w:space="0" w:color="auto"/>
        <w:right w:val="none" w:sz="0" w:space="0" w:color="auto"/>
      </w:divBdr>
    </w:div>
    <w:div w:id="1032222418">
      <w:bodyDiv w:val="1"/>
      <w:marLeft w:val="0"/>
      <w:marRight w:val="0"/>
      <w:marTop w:val="0"/>
      <w:marBottom w:val="0"/>
      <w:divBdr>
        <w:top w:val="none" w:sz="0" w:space="0" w:color="auto"/>
        <w:left w:val="none" w:sz="0" w:space="0" w:color="auto"/>
        <w:bottom w:val="none" w:sz="0" w:space="0" w:color="auto"/>
        <w:right w:val="none" w:sz="0" w:space="0" w:color="auto"/>
      </w:divBdr>
    </w:div>
    <w:div w:id="1070155338">
      <w:bodyDiv w:val="1"/>
      <w:marLeft w:val="0"/>
      <w:marRight w:val="0"/>
      <w:marTop w:val="0"/>
      <w:marBottom w:val="0"/>
      <w:divBdr>
        <w:top w:val="none" w:sz="0" w:space="0" w:color="auto"/>
        <w:left w:val="none" w:sz="0" w:space="0" w:color="auto"/>
        <w:bottom w:val="none" w:sz="0" w:space="0" w:color="auto"/>
        <w:right w:val="none" w:sz="0" w:space="0" w:color="auto"/>
      </w:divBdr>
    </w:div>
    <w:div w:id="1556821164">
      <w:bodyDiv w:val="1"/>
      <w:marLeft w:val="0"/>
      <w:marRight w:val="0"/>
      <w:marTop w:val="0"/>
      <w:marBottom w:val="0"/>
      <w:divBdr>
        <w:top w:val="none" w:sz="0" w:space="0" w:color="auto"/>
        <w:left w:val="none" w:sz="0" w:space="0" w:color="auto"/>
        <w:bottom w:val="none" w:sz="0" w:space="0" w:color="auto"/>
        <w:right w:val="none" w:sz="0" w:space="0" w:color="auto"/>
      </w:divBdr>
    </w:div>
    <w:div w:id="1565724533">
      <w:marLeft w:val="0"/>
      <w:marRight w:val="0"/>
      <w:marTop w:val="0"/>
      <w:marBottom w:val="0"/>
      <w:divBdr>
        <w:top w:val="none" w:sz="0" w:space="0" w:color="auto"/>
        <w:left w:val="none" w:sz="0" w:space="0" w:color="auto"/>
        <w:bottom w:val="none" w:sz="0" w:space="0" w:color="auto"/>
        <w:right w:val="none" w:sz="0" w:space="0" w:color="auto"/>
      </w:divBdr>
    </w:div>
    <w:div w:id="1565724534">
      <w:marLeft w:val="0"/>
      <w:marRight w:val="0"/>
      <w:marTop w:val="0"/>
      <w:marBottom w:val="0"/>
      <w:divBdr>
        <w:top w:val="none" w:sz="0" w:space="0" w:color="auto"/>
        <w:left w:val="none" w:sz="0" w:space="0" w:color="auto"/>
        <w:bottom w:val="none" w:sz="0" w:space="0" w:color="auto"/>
        <w:right w:val="none" w:sz="0" w:space="0" w:color="auto"/>
      </w:divBdr>
    </w:div>
    <w:div w:id="1565724540">
      <w:marLeft w:val="0"/>
      <w:marRight w:val="0"/>
      <w:marTop w:val="0"/>
      <w:marBottom w:val="0"/>
      <w:divBdr>
        <w:top w:val="none" w:sz="0" w:space="0" w:color="auto"/>
        <w:left w:val="none" w:sz="0" w:space="0" w:color="auto"/>
        <w:bottom w:val="none" w:sz="0" w:space="0" w:color="auto"/>
        <w:right w:val="none" w:sz="0" w:space="0" w:color="auto"/>
      </w:divBdr>
    </w:div>
    <w:div w:id="1565724544">
      <w:marLeft w:val="0"/>
      <w:marRight w:val="0"/>
      <w:marTop w:val="0"/>
      <w:marBottom w:val="0"/>
      <w:divBdr>
        <w:top w:val="none" w:sz="0" w:space="0" w:color="auto"/>
        <w:left w:val="none" w:sz="0" w:space="0" w:color="auto"/>
        <w:bottom w:val="none" w:sz="0" w:space="0" w:color="auto"/>
        <w:right w:val="none" w:sz="0" w:space="0" w:color="auto"/>
      </w:divBdr>
    </w:div>
    <w:div w:id="1565724545">
      <w:marLeft w:val="0"/>
      <w:marRight w:val="0"/>
      <w:marTop w:val="0"/>
      <w:marBottom w:val="0"/>
      <w:divBdr>
        <w:top w:val="none" w:sz="0" w:space="0" w:color="auto"/>
        <w:left w:val="none" w:sz="0" w:space="0" w:color="auto"/>
        <w:bottom w:val="none" w:sz="0" w:space="0" w:color="auto"/>
        <w:right w:val="none" w:sz="0" w:space="0" w:color="auto"/>
      </w:divBdr>
    </w:div>
    <w:div w:id="1565724546">
      <w:marLeft w:val="0"/>
      <w:marRight w:val="0"/>
      <w:marTop w:val="0"/>
      <w:marBottom w:val="0"/>
      <w:divBdr>
        <w:top w:val="none" w:sz="0" w:space="0" w:color="auto"/>
        <w:left w:val="none" w:sz="0" w:space="0" w:color="auto"/>
        <w:bottom w:val="none" w:sz="0" w:space="0" w:color="auto"/>
        <w:right w:val="none" w:sz="0" w:space="0" w:color="auto"/>
      </w:divBdr>
    </w:div>
    <w:div w:id="1565724548">
      <w:marLeft w:val="0"/>
      <w:marRight w:val="0"/>
      <w:marTop w:val="0"/>
      <w:marBottom w:val="0"/>
      <w:divBdr>
        <w:top w:val="none" w:sz="0" w:space="0" w:color="auto"/>
        <w:left w:val="none" w:sz="0" w:space="0" w:color="auto"/>
        <w:bottom w:val="none" w:sz="0" w:space="0" w:color="auto"/>
        <w:right w:val="none" w:sz="0" w:space="0" w:color="auto"/>
      </w:divBdr>
    </w:div>
    <w:div w:id="1565724550">
      <w:marLeft w:val="120"/>
      <w:marRight w:val="120"/>
      <w:marTop w:val="0"/>
      <w:marBottom w:val="120"/>
      <w:divBdr>
        <w:top w:val="none" w:sz="0" w:space="0" w:color="auto"/>
        <w:left w:val="none" w:sz="0" w:space="0" w:color="auto"/>
        <w:bottom w:val="none" w:sz="0" w:space="0" w:color="auto"/>
        <w:right w:val="none" w:sz="0" w:space="0" w:color="auto"/>
      </w:divBdr>
      <w:divsChild>
        <w:div w:id="1565724539">
          <w:marLeft w:val="0"/>
          <w:marRight w:val="0"/>
          <w:marTop w:val="0"/>
          <w:marBottom w:val="0"/>
          <w:divBdr>
            <w:top w:val="none" w:sz="0" w:space="0" w:color="auto"/>
            <w:left w:val="none" w:sz="0" w:space="0" w:color="auto"/>
            <w:bottom w:val="none" w:sz="0" w:space="0" w:color="auto"/>
            <w:right w:val="none" w:sz="0" w:space="0" w:color="auto"/>
          </w:divBdr>
          <w:divsChild>
            <w:div w:id="1565724549">
              <w:marLeft w:val="0"/>
              <w:marRight w:val="0"/>
              <w:marTop w:val="0"/>
              <w:marBottom w:val="0"/>
              <w:divBdr>
                <w:top w:val="none" w:sz="0" w:space="0" w:color="auto"/>
                <w:left w:val="none" w:sz="0" w:space="0" w:color="auto"/>
                <w:bottom w:val="none" w:sz="0" w:space="0" w:color="auto"/>
                <w:right w:val="none" w:sz="0" w:space="0" w:color="auto"/>
              </w:divBdr>
              <w:divsChild>
                <w:div w:id="1565724531">
                  <w:marLeft w:val="0"/>
                  <w:marRight w:val="0"/>
                  <w:marTop w:val="0"/>
                  <w:marBottom w:val="0"/>
                  <w:divBdr>
                    <w:top w:val="none" w:sz="0" w:space="0" w:color="auto"/>
                    <w:left w:val="none" w:sz="0" w:space="0" w:color="auto"/>
                    <w:bottom w:val="none" w:sz="0" w:space="0" w:color="auto"/>
                    <w:right w:val="none" w:sz="0" w:space="0" w:color="auto"/>
                  </w:divBdr>
                </w:div>
                <w:div w:id="1565724532">
                  <w:marLeft w:val="0"/>
                  <w:marRight w:val="0"/>
                  <w:marTop w:val="0"/>
                  <w:marBottom w:val="0"/>
                  <w:divBdr>
                    <w:top w:val="none" w:sz="0" w:space="0" w:color="auto"/>
                    <w:left w:val="none" w:sz="0" w:space="0" w:color="auto"/>
                    <w:bottom w:val="none" w:sz="0" w:space="0" w:color="auto"/>
                    <w:right w:val="none" w:sz="0" w:space="0" w:color="auto"/>
                  </w:divBdr>
                </w:div>
                <w:div w:id="1565724535">
                  <w:marLeft w:val="0"/>
                  <w:marRight w:val="0"/>
                  <w:marTop w:val="0"/>
                  <w:marBottom w:val="0"/>
                  <w:divBdr>
                    <w:top w:val="none" w:sz="0" w:space="0" w:color="auto"/>
                    <w:left w:val="none" w:sz="0" w:space="0" w:color="auto"/>
                    <w:bottom w:val="none" w:sz="0" w:space="0" w:color="auto"/>
                    <w:right w:val="none" w:sz="0" w:space="0" w:color="auto"/>
                  </w:divBdr>
                </w:div>
                <w:div w:id="1565724536">
                  <w:marLeft w:val="0"/>
                  <w:marRight w:val="0"/>
                  <w:marTop w:val="0"/>
                  <w:marBottom w:val="0"/>
                  <w:divBdr>
                    <w:top w:val="none" w:sz="0" w:space="0" w:color="auto"/>
                    <w:left w:val="none" w:sz="0" w:space="0" w:color="auto"/>
                    <w:bottom w:val="none" w:sz="0" w:space="0" w:color="auto"/>
                    <w:right w:val="none" w:sz="0" w:space="0" w:color="auto"/>
                  </w:divBdr>
                </w:div>
                <w:div w:id="1565724537">
                  <w:marLeft w:val="0"/>
                  <w:marRight w:val="0"/>
                  <w:marTop w:val="0"/>
                  <w:marBottom w:val="0"/>
                  <w:divBdr>
                    <w:top w:val="none" w:sz="0" w:space="0" w:color="auto"/>
                    <w:left w:val="none" w:sz="0" w:space="0" w:color="auto"/>
                    <w:bottom w:val="none" w:sz="0" w:space="0" w:color="auto"/>
                    <w:right w:val="none" w:sz="0" w:space="0" w:color="auto"/>
                  </w:divBdr>
                </w:div>
                <w:div w:id="1565724538">
                  <w:marLeft w:val="0"/>
                  <w:marRight w:val="0"/>
                  <w:marTop w:val="0"/>
                  <w:marBottom w:val="0"/>
                  <w:divBdr>
                    <w:top w:val="none" w:sz="0" w:space="0" w:color="auto"/>
                    <w:left w:val="none" w:sz="0" w:space="0" w:color="auto"/>
                    <w:bottom w:val="none" w:sz="0" w:space="0" w:color="auto"/>
                    <w:right w:val="none" w:sz="0" w:space="0" w:color="auto"/>
                  </w:divBdr>
                </w:div>
                <w:div w:id="1565724541">
                  <w:marLeft w:val="0"/>
                  <w:marRight w:val="0"/>
                  <w:marTop w:val="0"/>
                  <w:marBottom w:val="0"/>
                  <w:divBdr>
                    <w:top w:val="none" w:sz="0" w:space="0" w:color="auto"/>
                    <w:left w:val="none" w:sz="0" w:space="0" w:color="auto"/>
                    <w:bottom w:val="none" w:sz="0" w:space="0" w:color="auto"/>
                    <w:right w:val="none" w:sz="0" w:space="0" w:color="auto"/>
                  </w:divBdr>
                </w:div>
                <w:div w:id="1565724542">
                  <w:marLeft w:val="0"/>
                  <w:marRight w:val="0"/>
                  <w:marTop w:val="0"/>
                  <w:marBottom w:val="0"/>
                  <w:divBdr>
                    <w:top w:val="none" w:sz="0" w:space="0" w:color="auto"/>
                    <w:left w:val="none" w:sz="0" w:space="0" w:color="auto"/>
                    <w:bottom w:val="none" w:sz="0" w:space="0" w:color="auto"/>
                    <w:right w:val="none" w:sz="0" w:space="0" w:color="auto"/>
                  </w:divBdr>
                </w:div>
                <w:div w:id="1565724543">
                  <w:marLeft w:val="0"/>
                  <w:marRight w:val="0"/>
                  <w:marTop w:val="0"/>
                  <w:marBottom w:val="0"/>
                  <w:divBdr>
                    <w:top w:val="none" w:sz="0" w:space="0" w:color="auto"/>
                    <w:left w:val="none" w:sz="0" w:space="0" w:color="auto"/>
                    <w:bottom w:val="none" w:sz="0" w:space="0" w:color="auto"/>
                    <w:right w:val="none" w:sz="0" w:space="0" w:color="auto"/>
                  </w:divBdr>
                </w:div>
                <w:div w:id="1565724547">
                  <w:marLeft w:val="0"/>
                  <w:marRight w:val="0"/>
                  <w:marTop w:val="0"/>
                  <w:marBottom w:val="0"/>
                  <w:divBdr>
                    <w:top w:val="none" w:sz="0" w:space="0" w:color="auto"/>
                    <w:left w:val="none" w:sz="0" w:space="0" w:color="auto"/>
                    <w:bottom w:val="none" w:sz="0" w:space="0" w:color="auto"/>
                    <w:right w:val="none" w:sz="0" w:space="0" w:color="auto"/>
                  </w:divBdr>
                </w:div>
                <w:div w:id="1565724553">
                  <w:marLeft w:val="0"/>
                  <w:marRight w:val="0"/>
                  <w:marTop w:val="0"/>
                  <w:marBottom w:val="0"/>
                  <w:divBdr>
                    <w:top w:val="none" w:sz="0" w:space="0" w:color="auto"/>
                    <w:left w:val="none" w:sz="0" w:space="0" w:color="auto"/>
                    <w:bottom w:val="none" w:sz="0" w:space="0" w:color="auto"/>
                    <w:right w:val="none" w:sz="0" w:space="0" w:color="auto"/>
                  </w:divBdr>
                </w:div>
                <w:div w:id="1565724554">
                  <w:marLeft w:val="0"/>
                  <w:marRight w:val="0"/>
                  <w:marTop w:val="0"/>
                  <w:marBottom w:val="0"/>
                  <w:divBdr>
                    <w:top w:val="none" w:sz="0" w:space="0" w:color="auto"/>
                    <w:left w:val="none" w:sz="0" w:space="0" w:color="auto"/>
                    <w:bottom w:val="none" w:sz="0" w:space="0" w:color="auto"/>
                    <w:right w:val="none" w:sz="0" w:space="0" w:color="auto"/>
                  </w:divBdr>
                </w:div>
                <w:div w:id="1565724555">
                  <w:marLeft w:val="0"/>
                  <w:marRight w:val="0"/>
                  <w:marTop w:val="0"/>
                  <w:marBottom w:val="0"/>
                  <w:divBdr>
                    <w:top w:val="none" w:sz="0" w:space="0" w:color="auto"/>
                    <w:left w:val="none" w:sz="0" w:space="0" w:color="auto"/>
                    <w:bottom w:val="none" w:sz="0" w:space="0" w:color="auto"/>
                    <w:right w:val="none" w:sz="0" w:space="0" w:color="auto"/>
                  </w:divBdr>
                </w:div>
                <w:div w:id="15657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4551">
      <w:marLeft w:val="0"/>
      <w:marRight w:val="0"/>
      <w:marTop w:val="0"/>
      <w:marBottom w:val="0"/>
      <w:divBdr>
        <w:top w:val="none" w:sz="0" w:space="0" w:color="auto"/>
        <w:left w:val="none" w:sz="0" w:space="0" w:color="auto"/>
        <w:bottom w:val="none" w:sz="0" w:space="0" w:color="auto"/>
        <w:right w:val="none" w:sz="0" w:space="0" w:color="auto"/>
      </w:divBdr>
    </w:div>
    <w:div w:id="1565724552">
      <w:marLeft w:val="0"/>
      <w:marRight w:val="0"/>
      <w:marTop w:val="0"/>
      <w:marBottom w:val="0"/>
      <w:divBdr>
        <w:top w:val="none" w:sz="0" w:space="0" w:color="auto"/>
        <w:left w:val="none" w:sz="0" w:space="0" w:color="auto"/>
        <w:bottom w:val="none" w:sz="0" w:space="0" w:color="auto"/>
        <w:right w:val="none" w:sz="0" w:space="0" w:color="auto"/>
      </w:divBdr>
    </w:div>
    <w:div w:id="1672220942">
      <w:bodyDiv w:val="1"/>
      <w:marLeft w:val="0"/>
      <w:marRight w:val="0"/>
      <w:marTop w:val="0"/>
      <w:marBottom w:val="0"/>
      <w:divBdr>
        <w:top w:val="none" w:sz="0" w:space="0" w:color="auto"/>
        <w:left w:val="none" w:sz="0" w:space="0" w:color="auto"/>
        <w:bottom w:val="none" w:sz="0" w:space="0" w:color="auto"/>
        <w:right w:val="none" w:sz="0" w:space="0" w:color="auto"/>
      </w:divBdr>
    </w:div>
    <w:div w:id="1905482225">
      <w:bodyDiv w:val="1"/>
      <w:marLeft w:val="0"/>
      <w:marRight w:val="0"/>
      <w:marTop w:val="0"/>
      <w:marBottom w:val="0"/>
      <w:divBdr>
        <w:top w:val="none" w:sz="0" w:space="0" w:color="auto"/>
        <w:left w:val="none" w:sz="0" w:space="0" w:color="auto"/>
        <w:bottom w:val="none" w:sz="0" w:space="0" w:color="auto"/>
        <w:right w:val="none" w:sz="0" w:space="0" w:color="auto"/>
      </w:divBdr>
    </w:div>
    <w:div w:id="1971089331">
      <w:bodyDiv w:val="1"/>
      <w:marLeft w:val="0"/>
      <w:marRight w:val="0"/>
      <w:marTop w:val="0"/>
      <w:marBottom w:val="0"/>
      <w:divBdr>
        <w:top w:val="none" w:sz="0" w:space="0" w:color="auto"/>
        <w:left w:val="none" w:sz="0" w:space="0" w:color="auto"/>
        <w:bottom w:val="none" w:sz="0" w:space="0" w:color="auto"/>
        <w:right w:val="none" w:sz="0" w:space="0" w:color="auto"/>
      </w:divBdr>
    </w:div>
    <w:div w:id="2077438270">
      <w:bodyDiv w:val="1"/>
      <w:marLeft w:val="0"/>
      <w:marRight w:val="0"/>
      <w:marTop w:val="0"/>
      <w:marBottom w:val="0"/>
      <w:divBdr>
        <w:top w:val="none" w:sz="0" w:space="0" w:color="auto"/>
        <w:left w:val="none" w:sz="0" w:space="0" w:color="auto"/>
        <w:bottom w:val="none" w:sz="0" w:space="0" w:color="auto"/>
        <w:right w:val="none" w:sz="0" w:space="0" w:color="auto"/>
      </w:divBdr>
    </w:div>
    <w:div w:id="2081363079">
      <w:bodyDiv w:val="1"/>
      <w:marLeft w:val="0"/>
      <w:marRight w:val="0"/>
      <w:marTop w:val="0"/>
      <w:marBottom w:val="0"/>
      <w:divBdr>
        <w:top w:val="none" w:sz="0" w:space="0" w:color="auto"/>
        <w:left w:val="none" w:sz="0" w:space="0" w:color="auto"/>
        <w:bottom w:val="none" w:sz="0" w:space="0" w:color="auto"/>
        <w:right w:val="none" w:sz="0" w:space="0" w:color="auto"/>
      </w:divBdr>
    </w:div>
    <w:div w:id="2115902372">
      <w:bodyDiv w:val="1"/>
      <w:marLeft w:val="0"/>
      <w:marRight w:val="0"/>
      <w:marTop w:val="0"/>
      <w:marBottom w:val="0"/>
      <w:divBdr>
        <w:top w:val="none" w:sz="0" w:space="0" w:color="auto"/>
        <w:left w:val="none" w:sz="0" w:space="0" w:color="auto"/>
        <w:bottom w:val="none" w:sz="0" w:space="0" w:color="auto"/>
        <w:right w:val="none" w:sz="0" w:space="0" w:color="auto"/>
      </w:divBdr>
    </w:div>
    <w:div w:id="21241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1776B1-303A-49DE-BD71-451E6CF38B43}" type="doc">
      <dgm:prSet loTypeId="urn:microsoft.com/office/officeart/2005/8/layout/hierarchy3" loCatId="relationship" qsTypeId="urn:microsoft.com/office/officeart/2005/8/quickstyle/simple1#1" qsCatId="simple" csTypeId="urn:microsoft.com/office/officeart/2005/8/colors/accent1_2#1" csCatId="accent1" phldr="1"/>
      <dgm:spPr/>
      <dgm:t>
        <a:bodyPr/>
        <a:lstStyle/>
        <a:p>
          <a:endParaRPr lang="hr-HR"/>
        </a:p>
      </dgm:t>
    </dgm:pt>
    <dgm:pt modelId="{F8CF2EC1-86E5-4B4D-B60C-021EF563E152}">
      <dgm:prSet phldrT="[Text]"/>
      <dgm:spPr/>
      <dgm:t>
        <a:bodyPr/>
        <a:lstStyle/>
        <a:p>
          <a:r>
            <a:rPr lang="hr-HR"/>
            <a:t>Dijagnostika*</a:t>
          </a:r>
        </a:p>
      </dgm:t>
    </dgm:pt>
    <dgm:pt modelId="{91B1DCA0-8A9C-4BFE-8A5E-E6ECF8297FA5}" type="parTrans" cxnId="{9711E425-D4E9-4063-A0BD-AC20FE0E03F9}">
      <dgm:prSet/>
      <dgm:spPr/>
      <dgm:t>
        <a:bodyPr/>
        <a:lstStyle/>
        <a:p>
          <a:endParaRPr lang="hr-HR"/>
        </a:p>
      </dgm:t>
    </dgm:pt>
    <dgm:pt modelId="{F6A981B6-7675-4CDE-BE3D-04F2B21F4818}" type="sibTrans" cxnId="{9711E425-D4E9-4063-A0BD-AC20FE0E03F9}">
      <dgm:prSet/>
      <dgm:spPr/>
      <dgm:t>
        <a:bodyPr/>
        <a:lstStyle/>
        <a:p>
          <a:endParaRPr lang="hr-HR"/>
        </a:p>
      </dgm:t>
    </dgm:pt>
    <dgm:pt modelId="{382EA200-4425-4FDB-A5B6-4B19445AE947}">
      <dgm:prSet phldrT="[Text]" custT="1"/>
      <dgm:spPr/>
      <dgm:t>
        <a:bodyPr/>
        <a:lstStyle/>
        <a:p>
          <a:r>
            <a:rPr lang="hr-HR" sz="900"/>
            <a:t>psiholog</a:t>
          </a:r>
        </a:p>
      </dgm:t>
    </dgm:pt>
    <dgm:pt modelId="{01CED915-9238-413A-8F55-54DF9336B50F}" type="parTrans" cxnId="{C7CB7997-A37D-41A1-98A3-2F95F8C3B8FF}">
      <dgm:prSet/>
      <dgm:spPr/>
      <dgm:t>
        <a:bodyPr/>
        <a:lstStyle/>
        <a:p>
          <a:endParaRPr lang="hr-HR"/>
        </a:p>
      </dgm:t>
    </dgm:pt>
    <dgm:pt modelId="{60137E8F-E55C-4F4A-AE02-A18F1F0E5086}" type="sibTrans" cxnId="{C7CB7997-A37D-41A1-98A3-2F95F8C3B8FF}">
      <dgm:prSet/>
      <dgm:spPr/>
      <dgm:t>
        <a:bodyPr/>
        <a:lstStyle/>
        <a:p>
          <a:endParaRPr lang="hr-HR"/>
        </a:p>
      </dgm:t>
    </dgm:pt>
    <dgm:pt modelId="{DF6AAAB7-92B6-4ECF-84AE-7F5545E1C111}">
      <dgm:prSet phldrT="[Text]" custT="1"/>
      <dgm:spPr/>
      <dgm:t>
        <a:bodyPr/>
        <a:lstStyle/>
        <a:p>
          <a:r>
            <a:rPr lang="hr-HR" sz="900"/>
            <a:t>psihijatar</a:t>
          </a:r>
        </a:p>
      </dgm:t>
    </dgm:pt>
    <dgm:pt modelId="{71ECB21E-CB04-4040-B0A3-FE4DC73483E7}" type="parTrans" cxnId="{FB7CCA83-ACCC-4A48-A9CF-85A6D45B80CE}">
      <dgm:prSet/>
      <dgm:spPr/>
      <dgm:t>
        <a:bodyPr/>
        <a:lstStyle/>
        <a:p>
          <a:endParaRPr lang="hr-HR"/>
        </a:p>
      </dgm:t>
    </dgm:pt>
    <dgm:pt modelId="{8C972CED-55C1-420B-9DF7-53A9CE9B08FB}" type="sibTrans" cxnId="{FB7CCA83-ACCC-4A48-A9CF-85A6D45B80CE}">
      <dgm:prSet/>
      <dgm:spPr/>
      <dgm:t>
        <a:bodyPr/>
        <a:lstStyle/>
        <a:p>
          <a:endParaRPr lang="hr-HR"/>
        </a:p>
      </dgm:t>
    </dgm:pt>
    <dgm:pt modelId="{E2AD7BD6-099A-4491-B4F6-2DB81F4703C7}">
      <dgm:prSet phldrT="[Text]"/>
      <dgm:spPr/>
      <dgm:t>
        <a:bodyPr/>
        <a:lstStyle/>
        <a:p>
          <a:r>
            <a:rPr lang="hr-HR"/>
            <a:t>Tretman </a:t>
          </a:r>
        </a:p>
      </dgm:t>
    </dgm:pt>
    <dgm:pt modelId="{A9E0B555-32AC-4A11-9C79-FED4F138B199}" type="parTrans" cxnId="{535A68F3-C92B-4F84-A5B0-5AB93938F2C3}">
      <dgm:prSet/>
      <dgm:spPr/>
      <dgm:t>
        <a:bodyPr/>
        <a:lstStyle/>
        <a:p>
          <a:endParaRPr lang="hr-HR"/>
        </a:p>
      </dgm:t>
    </dgm:pt>
    <dgm:pt modelId="{8F36D20E-357C-4F25-B302-99087EE530CD}" type="sibTrans" cxnId="{535A68F3-C92B-4F84-A5B0-5AB93938F2C3}">
      <dgm:prSet/>
      <dgm:spPr/>
      <dgm:t>
        <a:bodyPr/>
        <a:lstStyle/>
        <a:p>
          <a:endParaRPr lang="hr-HR"/>
        </a:p>
      </dgm:t>
    </dgm:pt>
    <dgm:pt modelId="{2565D584-E2B8-4DED-BE56-32EFA66DD501}">
      <dgm:prSet phldrT="[Text]" custT="1"/>
      <dgm:spPr/>
      <dgm:t>
        <a:bodyPr/>
        <a:lstStyle/>
        <a:p>
          <a:r>
            <a:rPr lang="hr-HR" sz="800"/>
            <a:t>psihološko savjetovanje</a:t>
          </a:r>
        </a:p>
      </dgm:t>
    </dgm:pt>
    <dgm:pt modelId="{A046D7A7-ED13-42B2-9161-96E87EAA622F}" type="parTrans" cxnId="{2580DD06-669A-464C-813E-190F42227C32}">
      <dgm:prSet/>
      <dgm:spPr/>
      <dgm:t>
        <a:bodyPr/>
        <a:lstStyle/>
        <a:p>
          <a:endParaRPr lang="hr-HR"/>
        </a:p>
      </dgm:t>
    </dgm:pt>
    <dgm:pt modelId="{05B67586-857D-4E75-BB68-812F62873E26}" type="sibTrans" cxnId="{2580DD06-669A-464C-813E-190F42227C32}">
      <dgm:prSet/>
      <dgm:spPr/>
      <dgm:t>
        <a:bodyPr/>
        <a:lstStyle/>
        <a:p>
          <a:endParaRPr lang="hr-HR"/>
        </a:p>
      </dgm:t>
    </dgm:pt>
    <dgm:pt modelId="{7B921CA0-F138-49AB-B25A-8F6F2D70B445}">
      <dgm:prSet phldrT="[Text]" custT="1"/>
      <dgm:spPr/>
      <dgm:t>
        <a:bodyPr/>
        <a:lstStyle/>
        <a:p>
          <a:r>
            <a:rPr lang="hr-HR" sz="600"/>
            <a:t>psihijatrijski tretman komorbiditetnih stanja</a:t>
          </a:r>
        </a:p>
      </dgm:t>
    </dgm:pt>
    <dgm:pt modelId="{1E56894D-59B4-43A8-8DA3-DA48D2217934}" type="parTrans" cxnId="{C49D9676-A3EF-4985-83BD-863C7CDB851E}">
      <dgm:prSet/>
      <dgm:spPr/>
      <dgm:t>
        <a:bodyPr/>
        <a:lstStyle/>
        <a:p>
          <a:endParaRPr lang="hr-HR"/>
        </a:p>
      </dgm:t>
    </dgm:pt>
    <dgm:pt modelId="{452D332B-4974-4DD1-BA64-95DB690333AA}" type="sibTrans" cxnId="{C49D9676-A3EF-4985-83BD-863C7CDB851E}">
      <dgm:prSet/>
      <dgm:spPr/>
      <dgm:t>
        <a:bodyPr/>
        <a:lstStyle/>
        <a:p>
          <a:endParaRPr lang="hr-HR"/>
        </a:p>
      </dgm:t>
    </dgm:pt>
    <dgm:pt modelId="{4170C3E1-A9E1-40A9-BBF3-AE9466C6DC08}">
      <dgm:prSet custT="1"/>
      <dgm:spPr/>
      <dgm:t>
        <a:bodyPr/>
        <a:lstStyle/>
        <a:p>
          <a:r>
            <a:rPr lang="hr-HR" sz="800"/>
            <a:t>endokrionolog</a:t>
          </a:r>
        </a:p>
      </dgm:t>
    </dgm:pt>
    <dgm:pt modelId="{2F386306-EB64-440C-9B14-FE7555A629A7}" type="parTrans" cxnId="{643ECCDF-B9BD-4A06-80B6-AC71E31981BF}">
      <dgm:prSet/>
      <dgm:spPr/>
      <dgm:t>
        <a:bodyPr/>
        <a:lstStyle/>
        <a:p>
          <a:endParaRPr lang="hr-HR"/>
        </a:p>
      </dgm:t>
    </dgm:pt>
    <dgm:pt modelId="{D59A7595-D84C-450B-BC4E-7ABC9CC1B190}" type="sibTrans" cxnId="{643ECCDF-B9BD-4A06-80B6-AC71E31981BF}">
      <dgm:prSet/>
      <dgm:spPr/>
      <dgm:t>
        <a:bodyPr/>
        <a:lstStyle/>
        <a:p>
          <a:endParaRPr lang="hr-HR"/>
        </a:p>
      </dgm:t>
    </dgm:pt>
    <dgm:pt modelId="{EE852355-A06F-4074-878D-6263330C3B2D}">
      <dgm:prSet custT="1"/>
      <dgm:spPr/>
      <dgm:t>
        <a:bodyPr/>
        <a:lstStyle/>
        <a:p>
          <a:r>
            <a:rPr lang="hr-HR" sz="700"/>
            <a:t>endokrinološki tretman</a:t>
          </a:r>
        </a:p>
      </dgm:t>
    </dgm:pt>
    <dgm:pt modelId="{A25785B8-3275-4321-AF96-0E36E5FE0412}" type="parTrans" cxnId="{605EA684-E196-40CF-881E-5AAABE7F8312}">
      <dgm:prSet/>
      <dgm:spPr/>
      <dgm:t>
        <a:bodyPr/>
        <a:lstStyle/>
        <a:p>
          <a:endParaRPr lang="hr-HR"/>
        </a:p>
      </dgm:t>
    </dgm:pt>
    <dgm:pt modelId="{B6EA34C1-C188-49D1-BA02-BB67D29691AB}" type="sibTrans" cxnId="{605EA684-E196-40CF-881E-5AAABE7F8312}">
      <dgm:prSet/>
      <dgm:spPr/>
      <dgm:t>
        <a:bodyPr/>
        <a:lstStyle/>
        <a:p>
          <a:endParaRPr lang="hr-HR"/>
        </a:p>
      </dgm:t>
    </dgm:pt>
    <dgm:pt modelId="{B8077FF7-A816-477B-82A7-FC75D52C6BD8}">
      <dgm:prSet custT="1"/>
      <dgm:spPr/>
      <dgm:t>
        <a:bodyPr/>
        <a:lstStyle/>
        <a:p>
          <a:r>
            <a:rPr lang="hr-HR" sz="600"/>
            <a:t>kirurški tretman ("gornja operacija")</a:t>
          </a:r>
        </a:p>
      </dgm:t>
    </dgm:pt>
    <dgm:pt modelId="{44CF95A5-2849-4678-8F34-07766DD50AB9}" type="parTrans" cxnId="{F0A409A1-B249-4DA9-891C-D928311DC180}">
      <dgm:prSet/>
      <dgm:spPr/>
      <dgm:t>
        <a:bodyPr/>
        <a:lstStyle/>
        <a:p>
          <a:endParaRPr lang="hr-HR"/>
        </a:p>
      </dgm:t>
    </dgm:pt>
    <dgm:pt modelId="{6C0E6A4B-6907-43D6-ABB6-F8AC51D9E661}" type="sibTrans" cxnId="{F0A409A1-B249-4DA9-891C-D928311DC180}">
      <dgm:prSet/>
      <dgm:spPr/>
      <dgm:t>
        <a:bodyPr/>
        <a:lstStyle/>
        <a:p>
          <a:endParaRPr lang="hr-HR"/>
        </a:p>
      </dgm:t>
    </dgm:pt>
    <dgm:pt modelId="{E0987D75-088E-411B-AAF9-D47AF7FEE07F}">
      <dgm:prSet/>
      <dgm:spPr/>
      <dgm:t>
        <a:bodyPr/>
        <a:lstStyle/>
        <a:p>
          <a:r>
            <a:rPr lang="hr-HR"/>
            <a:t>izrada mišljenja za Nacionalno zdravstveno vijeće</a:t>
          </a:r>
        </a:p>
      </dgm:t>
    </dgm:pt>
    <dgm:pt modelId="{84C2E9DE-480B-4158-853B-9D938B55FED2}" type="parTrans" cxnId="{3CBC7145-D78C-4A3A-9C93-F7B6D2F384F3}">
      <dgm:prSet/>
      <dgm:spPr/>
      <dgm:t>
        <a:bodyPr/>
        <a:lstStyle/>
        <a:p>
          <a:endParaRPr lang="hr-HR"/>
        </a:p>
      </dgm:t>
    </dgm:pt>
    <dgm:pt modelId="{5E278948-3FBB-4B6C-9B38-572083B3E37F}" type="sibTrans" cxnId="{3CBC7145-D78C-4A3A-9C93-F7B6D2F384F3}">
      <dgm:prSet/>
      <dgm:spPr/>
      <dgm:t>
        <a:bodyPr/>
        <a:lstStyle/>
        <a:p>
          <a:endParaRPr lang="hr-HR"/>
        </a:p>
      </dgm:t>
    </dgm:pt>
    <dgm:pt modelId="{C0396870-1ABD-4FB7-A8D5-55FA626F055A}">
      <dgm:prSet/>
      <dgm:spPr/>
      <dgm:t>
        <a:bodyPr/>
        <a:lstStyle/>
        <a:p>
          <a:r>
            <a:rPr lang="hr-HR"/>
            <a:t>kirurški tretman ("donja operacija")</a:t>
          </a:r>
        </a:p>
      </dgm:t>
    </dgm:pt>
    <dgm:pt modelId="{13476BD0-6389-46C3-9B89-F7A68561F600}" type="parTrans" cxnId="{B58CA290-09FD-48D1-85EB-B7BB4315846D}">
      <dgm:prSet/>
      <dgm:spPr/>
      <dgm:t>
        <a:bodyPr/>
        <a:lstStyle/>
        <a:p>
          <a:endParaRPr lang="hr-HR"/>
        </a:p>
      </dgm:t>
    </dgm:pt>
    <dgm:pt modelId="{572A57E4-1FEF-4F95-BF97-B283BA87D795}" type="sibTrans" cxnId="{B58CA290-09FD-48D1-85EB-B7BB4315846D}">
      <dgm:prSet/>
      <dgm:spPr/>
      <dgm:t>
        <a:bodyPr/>
        <a:lstStyle/>
        <a:p>
          <a:endParaRPr lang="hr-HR"/>
        </a:p>
      </dgm:t>
    </dgm:pt>
    <dgm:pt modelId="{DDA345B3-BDDC-472E-B8EE-A1CCFAC7F2B1}">
      <dgm:prSet custT="1"/>
      <dgm:spPr/>
      <dgm:t>
        <a:bodyPr/>
        <a:lstStyle/>
        <a:p>
          <a:r>
            <a:rPr lang="hr-HR" sz="700"/>
            <a:t>logopedski tretman</a:t>
          </a:r>
        </a:p>
      </dgm:t>
    </dgm:pt>
    <dgm:pt modelId="{80DDF313-43F0-4977-8C3B-87ED1312728B}" type="parTrans" cxnId="{1335B598-F65A-46E2-877B-216149EDB60F}">
      <dgm:prSet/>
      <dgm:spPr/>
      <dgm:t>
        <a:bodyPr/>
        <a:lstStyle/>
        <a:p>
          <a:endParaRPr lang="hr-HR"/>
        </a:p>
      </dgm:t>
    </dgm:pt>
    <dgm:pt modelId="{2E01043D-85A7-4974-9E50-F492B46141E4}" type="sibTrans" cxnId="{1335B598-F65A-46E2-877B-216149EDB60F}">
      <dgm:prSet/>
      <dgm:spPr/>
      <dgm:t>
        <a:bodyPr/>
        <a:lstStyle/>
        <a:p>
          <a:endParaRPr lang="hr-HR"/>
        </a:p>
      </dgm:t>
    </dgm:pt>
    <dgm:pt modelId="{86011EE8-78DB-4545-942B-81AA278D2FB9}">
      <dgm:prSet custT="1"/>
      <dgm:spPr/>
      <dgm:t>
        <a:bodyPr/>
        <a:lstStyle/>
        <a:p>
          <a:r>
            <a:rPr lang="hr-HR" sz="700"/>
            <a:t>ginekološki tretman</a:t>
          </a:r>
        </a:p>
      </dgm:t>
    </dgm:pt>
    <dgm:pt modelId="{9EE5A0C6-3B39-4CB5-91FE-10DA3A288A76}" type="parTrans" cxnId="{5206BFF3-AD3F-48F7-8698-E24519D77140}">
      <dgm:prSet/>
      <dgm:spPr/>
      <dgm:t>
        <a:bodyPr/>
        <a:lstStyle/>
        <a:p>
          <a:endParaRPr lang="hr-HR"/>
        </a:p>
      </dgm:t>
    </dgm:pt>
    <dgm:pt modelId="{550B29CF-1BED-4909-9EFA-66DFBF081C8B}" type="sibTrans" cxnId="{5206BFF3-AD3F-48F7-8698-E24519D77140}">
      <dgm:prSet/>
      <dgm:spPr/>
      <dgm:t>
        <a:bodyPr/>
        <a:lstStyle/>
        <a:p>
          <a:endParaRPr lang="hr-HR"/>
        </a:p>
      </dgm:t>
    </dgm:pt>
    <dgm:pt modelId="{2FC558A9-28C2-4F25-8309-7B67F3BAF9E1}" type="pres">
      <dgm:prSet presAssocID="{411776B1-303A-49DE-BD71-451E6CF38B43}" presName="diagram" presStyleCnt="0">
        <dgm:presLayoutVars>
          <dgm:chPref val="1"/>
          <dgm:dir/>
          <dgm:animOne val="branch"/>
          <dgm:animLvl val="lvl"/>
          <dgm:resizeHandles/>
        </dgm:presLayoutVars>
      </dgm:prSet>
      <dgm:spPr/>
      <dgm:t>
        <a:bodyPr/>
        <a:lstStyle/>
        <a:p>
          <a:endParaRPr lang="hr-HR"/>
        </a:p>
      </dgm:t>
    </dgm:pt>
    <dgm:pt modelId="{02AF2AA9-EFAB-454D-ACC0-50A2BB9EAB28}" type="pres">
      <dgm:prSet presAssocID="{F8CF2EC1-86E5-4B4D-B60C-021EF563E152}" presName="root" presStyleCnt="0"/>
      <dgm:spPr/>
    </dgm:pt>
    <dgm:pt modelId="{67FD6D6B-BBE4-472D-9590-5B1BF34B235A}" type="pres">
      <dgm:prSet presAssocID="{F8CF2EC1-86E5-4B4D-B60C-021EF563E152}" presName="rootComposite" presStyleCnt="0"/>
      <dgm:spPr/>
    </dgm:pt>
    <dgm:pt modelId="{CEAEBAD1-7C5C-4F4D-921E-4F6C3F8B98BD}" type="pres">
      <dgm:prSet presAssocID="{F8CF2EC1-86E5-4B4D-B60C-021EF563E152}" presName="rootText" presStyleLbl="node1" presStyleIdx="0" presStyleCnt="3" custLinFactNeighborX="56799" custLinFactNeighborY="-540"/>
      <dgm:spPr/>
      <dgm:t>
        <a:bodyPr/>
        <a:lstStyle/>
        <a:p>
          <a:endParaRPr lang="hr-HR"/>
        </a:p>
      </dgm:t>
    </dgm:pt>
    <dgm:pt modelId="{B18B81C1-D930-46AE-8D62-3B7C52885E2C}" type="pres">
      <dgm:prSet presAssocID="{F8CF2EC1-86E5-4B4D-B60C-021EF563E152}" presName="rootConnector" presStyleLbl="node1" presStyleIdx="0" presStyleCnt="3"/>
      <dgm:spPr/>
      <dgm:t>
        <a:bodyPr/>
        <a:lstStyle/>
        <a:p>
          <a:endParaRPr lang="hr-HR"/>
        </a:p>
      </dgm:t>
    </dgm:pt>
    <dgm:pt modelId="{9A269338-31D9-4F65-9193-C226DA878BBC}" type="pres">
      <dgm:prSet presAssocID="{F8CF2EC1-86E5-4B4D-B60C-021EF563E152}" presName="childShape" presStyleCnt="0"/>
      <dgm:spPr/>
    </dgm:pt>
    <dgm:pt modelId="{734EB644-74E9-4505-B9DD-13DAD39FC44F}" type="pres">
      <dgm:prSet presAssocID="{01CED915-9238-413A-8F55-54DF9336B50F}" presName="Name13" presStyleLbl="parChTrans1D2" presStyleIdx="0" presStyleCnt="10"/>
      <dgm:spPr/>
      <dgm:t>
        <a:bodyPr/>
        <a:lstStyle/>
        <a:p>
          <a:endParaRPr lang="hr-HR"/>
        </a:p>
      </dgm:t>
    </dgm:pt>
    <dgm:pt modelId="{E8C05187-6434-447B-8B10-5822D0D96F34}" type="pres">
      <dgm:prSet presAssocID="{382EA200-4425-4FDB-A5B6-4B19445AE947}" presName="childText" presStyleLbl="bgAcc1" presStyleIdx="0" presStyleCnt="10" custLinFactNeighborX="70998" custLinFactNeighborY="10819">
        <dgm:presLayoutVars>
          <dgm:bulletEnabled val="1"/>
        </dgm:presLayoutVars>
      </dgm:prSet>
      <dgm:spPr/>
      <dgm:t>
        <a:bodyPr/>
        <a:lstStyle/>
        <a:p>
          <a:endParaRPr lang="hr-HR"/>
        </a:p>
      </dgm:t>
    </dgm:pt>
    <dgm:pt modelId="{788A46C5-C27C-44DD-9B8F-426989281B1E}" type="pres">
      <dgm:prSet presAssocID="{71ECB21E-CB04-4040-B0A3-FE4DC73483E7}" presName="Name13" presStyleLbl="parChTrans1D2" presStyleIdx="1" presStyleCnt="10"/>
      <dgm:spPr/>
      <dgm:t>
        <a:bodyPr/>
        <a:lstStyle/>
        <a:p>
          <a:endParaRPr lang="hr-HR"/>
        </a:p>
      </dgm:t>
    </dgm:pt>
    <dgm:pt modelId="{EDE572D5-DAC6-446B-961E-05FA6E42F50E}" type="pres">
      <dgm:prSet presAssocID="{DF6AAAB7-92B6-4ECF-84AE-7F5545E1C111}" presName="childText" presStyleLbl="bgAcc1" presStyleIdx="1" presStyleCnt="10" custLinFactNeighborX="76633" custLinFactNeighborY="7213">
        <dgm:presLayoutVars>
          <dgm:bulletEnabled val="1"/>
        </dgm:presLayoutVars>
      </dgm:prSet>
      <dgm:spPr/>
      <dgm:t>
        <a:bodyPr/>
        <a:lstStyle/>
        <a:p>
          <a:endParaRPr lang="hr-HR"/>
        </a:p>
      </dgm:t>
    </dgm:pt>
    <dgm:pt modelId="{4C96DC4D-2816-467C-B4E2-CDB0EAD5AC2A}" type="pres">
      <dgm:prSet presAssocID="{2F386306-EB64-440C-9B14-FE7555A629A7}" presName="Name13" presStyleLbl="parChTrans1D2" presStyleIdx="2" presStyleCnt="10"/>
      <dgm:spPr/>
      <dgm:t>
        <a:bodyPr/>
        <a:lstStyle/>
        <a:p>
          <a:endParaRPr lang="hr-HR"/>
        </a:p>
      </dgm:t>
    </dgm:pt>
    <dgm:pt modelId="{213CE88E-7462-4C6D-B6E2-6BA843AB7A16}" type="pres">
      <dgm:prSet presAssocID="{4170C3E1-A9E1-40A9-BBF3-AE9466C6DC08}" presName="childText" presStyleLbl="bgAcc1" presStyleIdx="2" presStyleCnt="10" custScaleX="127904" custLinFactNeighborX="76633" custLinFactNeighborY="14425">
        <dgm:presLayoutVars>
          <dgm:bulletEnabled val="1"/>
        </dgm:presLayoutVars>
      </dgm:prSet>
      <dgm:spPr/>
      <dgm:t>
        <a:bodyPr/>
        <a:lstStyle/>
        <a:p>
          <a:endParaRPr lang="hr-HR"/>
        </a:p>
      </dgm:t>
    </dgm:pt>
    <dgm:pt modelId="{DF71711B-87A0-4E81-B69A-D1B885E69663}" type="pres">
      <dgm:prSet presAssocID="{E0987D75-088E-411B-AAF9-D47AF7FEE07F}" presName="root" presStyleCnt="0"/>
      <dgm:spPr/>
    </dgm:pt>
    <dgm:pt modelId="{85AA5F2B-E3DB-4876-9AD3-BABF6AE0A1F4}" type="pres">
      <dgm:prSet presAssocID="{E0987D75-088E-411B-AAF9-D47AF7FEE07F}" presName="rootComposite" presStyleCnt="0"/>
      <dgm:spPr/>
    </dgm:pt>
    <dgm:pt modelId="{056868CD-9393-4A8B-812E-B70B16259C6A}" type="pres">
      <dgm:prSet presAssocID="{E0987D75-088E-411B-AAF9-D47AF7FEE07F}" presName="rootText" presStyleLbl="node1" presStyleIdx="1" presStyleCnt="3" custScaleX="111861" custScaleY="124736" custLinFactX="-100000" custLinFactY="100000" custLinFactNeighborX="-119949" custLinFactNeighborY="125466"/>
      <dgm:spPr/>
      <dgm:t>
        <a:bodyPr/>
        <a:lstStyle/>
        <a:p>
          <a:endParaRPr lang="hr-HR"/>
        </a:p>
      </dgm:t>
    </dgm:pt>
    <dgm:pt modelId="{733EB70A-B6F0-49ED-88B4-860974E585CD}" type="pres">
      <dgm:prSet presAssocID="{E0987D75-088E-411B-AAF9-D47AF7FEE07F}" presName="rootConnector" presStyleLbl="node1" presStyleIdx="1" presStyleCnt="3"/>
      <dgm:spPr/>
      <dgm:t>
        <a:bodyPr/>
        <a:lstStyle/>
        <a:p>
          <a:endParaRPr lang="hr-HR"/>
        </a:p>
      </dgm:t>
    </dgm:pt>
    <dgm:pt modelId="{CA7ED563-DB6C-408F-9D28-51FA9CBDB67D}" type="pres">
      <dgm:prSet presAssocID="{E0987D75-088E-411B-AAF9-D47AF7FEE07F}" presName="childShape" presStyleCnt="0"/>
      <dgm:spPr/>
    </dgm:pt>
    <dgm:pt modelId="{A752586A-51F6-4ACB-8972-3A08B45C071B}" type="pres">
      <dgm:prSet presAssocID="{E2AD7BD6-099A-4491-B4F6-2DB81F4703C7}" presName="root" presStyleCnt="0"/>
      <dgm:spPr/>
    </dgm:pt>
    <dgm:pt modelId="{A65971D9-B3FE-47BE-B026-604D46138E5A}" type="pres">
      <dgm:prSet presAssocID="{E2AD7BD6-099A-4491-B4F6-2DB81F4703C7}" presName="rootComposite" presStyleCnt="0"/>
      <dgm:spPr/>
    </dgm:pt>
    <dgm:pt modelId="{EEBC6D16-35A0-45F0-9F17-765FDD92B080}" type="pres">
      <dgm:prSet presAssocID="{E2AD7BD6-099A-4491-B4F6-2DB81F4703C7}" presName="rootText" presStyleLbl="node1" presStyleIdx="2" presStyleCnt="3"/>
      <dgm:spPr/>
      <dgm:t>
        <a:bodyPr/>
        <a:lstStyle/>
        <a:p>
          <a:endParaRPr lang="hr-HR"/>
        </a:p>
      </dgm:t>
    </dgm:pt>
    <dgm:pt modelId="{C8512631-2023-4517-9BB9-33204F73A755}" type="pres">
      <dgm:prSet presAssocID="{E2AD7BD6-099A-4491-B4F6-2DB81F4703C7}" presName="rootConnector" presStyleLbl="node1" presStyleIdx="2" presStyleCnt="3"/>
      <dgm:spPr/>
      <dgm:t>
        <a:bodyPr/>
        <a:lstStyle/>
        <a:p>
          <a:endParaRPr lang="hr-HR"/>
        </a:p>
      </dgm:t>
    </dgm:pt>
    <dgm:pt modelId="{A6BFFECB-D1A9-4DC6-9EF1-D1EC21134F2D}" type="pres">
      <dgm:prSet presAssocID="{E2AD7BD6-099A-4491-B4F6-2DB81F4703C7}" presName="childShape" presStyleCnt="0"/>
      <dgm:spPr/>
    </dgm:pt>
    <dgm:pt modelId="{E9F9A424-843D-4AF0-A343-F392149DAC5E}" type="pres">
      <dgm:prSet presAssocID="{A046D7A7-ED13-42B2-9161-96E87EAA622F}" presName="Name13" presStyleLbl="parChTrans1D2" presStyleIdx="3" presStyleCnt="10"/>
      <dgm:spPr/>
      <dgm:t>
        <a:bodyPr/>
        <a:lstStyle/>
        <a:p>
          <a:endParaRPr lang="hr-HR"/>
        </a:p>
      </dgm:t>
    </dgm:pt>
    <dgm:pt modelId="{18441CEB-A4C0-4EA5-92FE-D0B94D3C0C54}" type="pres">
      <dgm:prSet presAssocID="{2565D584-E2B8-4DED-BE56-32EFA66DD501}" presName="childText" presStyleLbl="bgAcc1" presStyleIdx="3" presStyleCnt="10">
        <dgm:presLayoutVars>
          <dgm:bulletEnabled val="1"/>
        </dgm:presLayoutVars>
      </dgm:prSet>
      <dgm:spPr/>
      <dgm:t>
        <a:bodyPr/>
        <a:lstStyle/>
        <a:p>
          <a:endParaRPr lang="hr-HR"/>
        </a:p>
      </dgm:t>
    </dgm:pt>
    <dgm:pt modelId="{B063F812-F890-4AC0-9E57-F35D90C06463}" type="pres">
      <dgm:prSet presAssocID="{1E56894D-59B4-43A8-8DA3-DA48D2217934}" presName="Name13" presStyleLbl="parChTrans1D2" presStyleIdx="4" presStyleCnt="10"/>
      <dgm:spPr/>
      <dgm:t>
        <a:bodyPr/>
        <a:lstStyle/>
        <a:p>
          <a:endParaRPr lang="hr-HR"/>
        </a:p>
      </dgm:t>
    </dgm:pt>
    <dgm:pt modelId="{0F7E90C9-D877-4BEA-9447-DE76DFD38A4D}" type="pres">
      <dgm:prSet presAssocID="{7B921CA0-F138-49AB-B25A-8F6F2D70B445}" presName="childText" presStyleLbl="bgAcc1" presStyleIdx="4" presStyleCnt="10">
        <dgm:presLayoutVars>
          <dgm:bulletEnabled val="1"/>
        </dgm:presLayoutVars>
      </dgm:prSet>
      <dgm:spPr/>
      <dgm:t>
        <a:bodyPr/>
        <a:lstStyle/>
        <a:p>
          <a:endParaRPr lang="hr-HR"/>
        </a:p>
      </dgm:t>
    </dgm:pt>
    <dgm:pt modelId="{48DC70B1-B9D6-448C-A0E0-61B16E355665}" type="pres">
      <dgm:prSet presAssocID="{A25785B8-3275-4321-AF96-0E36E5FE0412}" presName="Name13" presStyleLbl="parChTrans1D2" presStyleIdx="5" presStyleCnt="10"/>
      <dgm:spPr/>
      <dgm:t>
        <a:bodyPr/>
        <a:lstStyle/>
        <a:p>
          <a:endParaRPr lang="hr-HR"/>
        </a:p>
      </dgm:t>
    </dgm:pt>
    <dgm:pt modelId="{2E089EE4-C20F-46D4-83B3-4CB957731465}" type="pres">
      <dgm:prSet presAssocID="{EE852355-A06F-4074-878D-6263330C3B2D}" presName="childText" presStyleLbl="bgAcc1" presStyleIdx="5" presStyleCnt="10">
        <dgm:presLayoutVars>
          <dgm:bulletEnabled val="1"/>
        </dgm:presLayoutVars>
      </dgm:prSet>
      <dgm:spPr/>
      <dgm:t>
        <a:bodyPr/>
        <a:lstStyle/>
        <a:p>
          <a:endParaRPr lang="hr-HR"/>
        </a:p>
      </dgm:t>
    </dgm:pt>
    <dgm:pt modelId="{486DF332-F3A2-4FF8-B196-4632A8BFFBA7}" type="pres">
      <dgm:prSet presAssocID="{80DDF313-43F0-4977-8C3B-87ED1312728B}" presName="Name13" presStyleLbl="parChTrans1D2" presStyleIdx="6" presStyleCnt="10"/>
      <dgm:spPr/>
      <dgm:t>
        <a:bodyPr/>
        <a:lstStyle/>
        <a:p>
          <a:endParaRPr lang="hr-HR"/>
        </a:p>
      </dgm:t>
    </dgm:pt>
    <dgm:pt modelId="{2C31FB8A-FF8E-4BCB-B183-AF885982ABAC}" type="pres">
      <dgm:prSet presAssocID="{DDA345B3-BDDC-472E-B8EE-A1CCFAC7F2B1}" presName="childText" presStyleLbl="bgAcc1" presStyleIdx="6" presStyleCnt="10">
        <dgm:presLayoutVars>
          <dgm:bulletEnabled val="1"/>
        </dgm:presLayoutVars>
      </dgm:prSet>
      <dgm:spPr/>
      <dgm:t>
        <a:bodyPr/>
        <a:lstStyle/>
        <a:p>
          <a:endParaRPr lang="hr-HR"/>
        </a:p>
      </dgm:t>
    </dgm:pt>
    <dgm:pt modelId="{D065394F-08DF-40AA-B7E7-4D9CC4CB988A}" type="pres">
      <dgm:prSet presAssocID="{9EE5A0C6-3B39-4CB5-91FE-10DA3A288A76}" presName="Name13" presStyleLbl="parChTrans1D2" presStyleIdx="7" presStyleCnt="10"/>
      <dgm:spPr/>
      <dgm:t>
        <a:bodyPr/>
        <a:lstStyle/>
        <a:p>
          <a:endParaRPr lang="hr-HR"/>
        </a:p>
      </dgm:t>
    </dgm:pt>
    <dgm:pt modelId="{DD9376A8-BC14-438D-9B9D-E82B2DDCA5DD}" type="pres">
      <dgm:prSet presAssocID="{86011EE8-78DB-4545-942B-81AA278D2FB9}" presName="childText" presStyleLbl="bgAcc1" presStyleIdx="7" presStyleCnt="10">
        <dgm:presLayoutVars>
          <dgm:bulletEnabled val="1"/>
        </dgm:presLayoutVars>
      </dgm:prSet>
      <dgm:spPr/>
      <dgm:t>
        <a:bodyPr/>
        <a:lstStyle/>
        <a:p>
          <a:endParaRPr lang="hr-HR"/>
        </a:p>
      </dgm:t>
    </dgm:pt>
    <dgm:pt modelId="{B9741CC6-EE57-4A87-BB0D-C6EA9DD960E6}" type="pres">
      <dgm:prSet presAssocID="{44CF95A5-2849-4678-8F34-07766DD50AB9}" presName="Name13" presStyleLbl="parChTrans1D2" presStyleIdx="8" presStyleCnt="10"/>
      <dgm:spPr/>
      <dgm:t>
        <a:bodyPr/>
        <a:lstStyle/>
        <a:p>
          <a:endParaRPr lang="hr-HR"/>
        </a:p>
      </dgm:t>
    </dgm:pt>
    <dgm:pt modelId="{9FD3ED67-713D-42B0-87F3-FBD99540BF45}" type="pres">
      <dgm:prSet presAssocID="{B8077FF7-A816-477B-82A7-FC75D52C6BD8}" presName="childText" presStyleLbl="bgAcc1" presStyleIdx="8" presStyleCnt="10">
        <dgm:presLayoutVars>
          <dgm:bulletEnabled val="1"/>
        </dgm:presLayoutVars>
      </dgm:prSet>
      <dgm:spPr/>
      <dgm:t>
        <a:bodyPr/>
        <a:lstStyle/>
        <a:p>
          <a:endParaRPr lang="hr-HR"/>
        </a:p>
      </dgm:t>
    </dgm:pt>
    <dgm:pt modelId="{487F435D-F745-456B-AB0F-0C30E5D32B76}" type="pres">
      <dgm:prSet presAssocID="{13476BD0-6389-46C3-9B89-F7A68561F600}" presName="Name13" presStyleLbl="parChTrans1D2" presStyleIdx="9" presStyleCnt="10"/>
      <dgm:spPr/>
      <dgm:t>
        <a:bodyPr/>
        <a:lstStyle/>
        <a:p>
          <a:endParaRPr lang="hr-HR"/>
        </a:p>
      </dgm:t>
    </dgm:pt>
    <dgm:pt modelId="{1E231031-D588-40E7-9FC8-30DC275F55DE}" type="pres">
      <dgm:prSet presAssocID="{C0396870-1ABD-4FB7-A8D5-55FA626F055A}" presName="childText" presStyleLbl="bgAcc1" presStyleIdx="9" presStyleCnt="10">
        <dgm:presLayoutVars>
          <dgm:bulletEnabled val="1"/>
        </dgm:presLayoutVars>
      </dgm:prSet>
      <dgm:spPr/>
      <dgm:t>
        <a:bodyPr/>
        <a:lstStyle/>
        <a:p>
          <a:endParaRPr lang="hr-HR"/>
        </a:p>
      </dgm:t>
    </dgm:pt>
  </dgm:ptLst>
  <dgm:cxnLst>
    <dgm:cxn modelId="{ECE437AA-69BD-4D23-AA9E-E2A68511BE2E}" type="presOf" srcId="{A046D7A7-ED13-42B2-9161-96E87EAA622F}" destId="{E9F9A424-843D-4AF0-A343-F392149DAC5E}" srcOrd="0" destOrd="0" presId="urn:microsoft.com/office/officeart/2005/8/layout/hierarchy3"/>
    <dgm:cxn modelId="{3CBC7145-D78C-4A3A-9C93-F7B6D2F384F3}" srcId="{411776B1-303A-49DE-BD71-451E6CF38B43}" destId="{E0987D75-088E-411B-AAF9-D47AF7FEE07F}" srcOrd="1" destOrd="0" parTransId="{84C2E9DE-480B-4158-853B-9D938B55FED2}" sibTransId="{5E278948-3FBB-4B6C-9B38-572083B3E37F}"/>
    <dgm:cxn modelId="{1335B598-F65A-46E2-877B-216149EDB60F}" srcId="{E2AD7BD6-099A-4491-B4F6-2DB81F4703C7}" destId="{DDA345B3-BDDC-472E-B8EE-A1CCFAC7F2B1}" srcOrd="3" destOrd="0" parTransId="{80DDF313-43F0-4977-8C3B-87ED1312728B}" sibTransId="{2E01043D-85A7-4974-9E50-F492B46141E4}"/>
    <dgm:cxn modelId="{7C63CB88-F9C4-4EDA-908B-EE6EF5D41A8F}" type="presOf" srcId="{E0987D75-088E-411B-AAF9-D47AF7FEE07F}" destId="{733EB70A-B6F0-49ED-88B4-860974E585CD}" srcOrd="1" destOrd="0" presId="urn:microsoft.com/office/officeart/2005/8/layout/hierarchy3"/>
    <dgm:cxn modelId="{BEB8038F-7829-49EE-918C-2702895C3C83}" type="presOf" srcId="{F8CF2EC1-86E5-4B4D-B60C-021EF563E152}" destId="{B18B81C1-D930-46AE-8D62-3B7C52885E2C}" srcOrd="1" destOrd="0" presId="urn:microsoft.com/office/officeart/2005/8/layout/hierarchy3"/>
    <dgm:cxn modelId="{6FBEB0D8-B41E-464A-84A1-BC20473369A5}" type="presOf" srcId="{C0396870-1ABD-4FB7-A8D5-55FA626F055A}" destId="{1E231031-D588-40E7-9FC8-30DC275F55DE}" srcOrd="0" destOrd="0" presId="urn:microsoft.com/office/officeart/2005/8/layout/hierarchy3"/>
    <dgm:cxn modelId="{EB4D6382-F257-48F5-8F16-AA962EAB5CE1}" type="presOf" srcId="{DDA345B3-BDDC-472E-B8EE-A1CCFAC7F2B1}" destId="{2C31FB8A-FF8E-4BCB-B183-AF885982ABAC}" srcOrd="0" destOrd="0" presId="urn:microsoft.com/office/officeart/2005/8/layout/hierarchy3"/>
    <dgm:cxn modelId="{D989B661-8AFB-4F32-91D1-A177A32BE56E}" type="presOf" srcId="{B8077FF7-A816-477B-82A7-FC75D52C6BD8}" destId="{9FD3ED67-713D-42B0-87F3-FBD99540BF45}" srcOrd="0" destOrd="0" presId="urn:microsoft.com/office/officeart/2005/8/layout/hierarchy3"/>
    <dgm:cxn modelId="{9711E425-D4E9-4063-A0BD-AC20FE0E03F9}" srcId="{411776B1-303A-49DE-BD71-451E6CF38B43}" destId="{F8CF2EC1-86E5-4B4D-B60C-021EF563E152}" srcOrd="0" destOrd="0" parTransId="{91B1DCA0-8A9C-4BFE-8A5E-E6ECF8297FA5}" sibTransId="{F6A981B6-7675-4CDE-BE3D-04F2B21F4818}"/>
    <dgm:cxn modelId="{2580DD06-669A-464C-813E-190F42227C32}" srcId="{E2AD7BD6-099A-4491-B4F6-2DB81F4703C7}" destId="{2565D584-E2B8-4DED-BE56-32EFA66DD501}" srcOrd="0" destOrd="0" parTransId="{A046D7A7-ED13-42B2-9161-96E87EAA622F}" sibTransId="{05B67586-857D-4E75-BB68-812F62873E26}"/>
    <dgm:cxn modelId="{4FE94F3A-5E27-47E0-9F89-46D128D68982}" type="presOf" srcId="{4170C3E1-A9E1-40A9-BBF3-AE9466C6DC08}" destId="{213CE88E-7462-4C6D-B6E2-6BA843AB7A16}" srcOrd="0" destOrd="0" presId="urn:microsoft.com/office/officeart/2005/8/layout/hierarchy3"/>
    <dgm:cxn modelId="{AF1ADB4D-B432-41FF-BA52-18E04360DEB7}" type="presOf" srcId="{86011EE8-78DB-4545-942B-81AA278D2FB9}" destId="{DD9376A8-BC14-438D-9B9D-E82B2DDCA5DD}" srcOrd="0" destOrd="0" presId="urn:microsoft.com/office/officeart/2005/8/layout/hierarchy3"/>
    <dgm:cxn modelId="{8A6A72F5-E39C-4510-9815-40F62509E35A}" type="presOf" srcId="{EE852355-A06F-4074-878D-6263330C3B2D}" destId="{2E089EE4-C20F-46D4-83B3-4CB957731465}" srcOrd="0" destOrd="0" presId="urn:microsoft.com/office/officeart/2005/8/layout/hierarchy3"/>
    <dgm:cxn modelId="{C7CB7997-A37D-41A1-98A3-2F95F8C3B8FF}" srcId="{F8CF2EC1-86E5-4B4D-B60C-021EF563E152}" destId="{382EA200-4425-4FDB-A5B6-4B19445AE947}" srcOrd="0" destOrd="0" parTransId="{01CED915-9238-413A-8F55-54DF9336B50F}" sibTransId="{60137E8F-E55C-4F4A-AE02-A18F1F0E5086}"/>
    <dgm:cxn modelId="{B58CA290-09FD-48D1-85EB-B7BB4315846D}" srcId="{E2AD7BD6-099A-4491-B4F6-2DB81F4703C7}" destId="{C0396870-1ABD-4FB7-A8D5-55FA626F055A}" srcOrd="6" destOrd="0" parTransId="{13476BD0-6389-46C3-9B89-F7A68561F600}" sibTransId="{572A57E4-1FEF-4F95-BF97-B283BA87D795}"/>
    <dgm:cxn modelId="{643ECCDF-B9BD-4A06-80B6-AC71E31981BF}" srcId="{F8CF2EC1-86E5-4B4D-B60C-021EF563E152}" destId="{4170C3E1-A9E1-40A9-BBF3-AE9466C6DC08}" srcOrd="2" destOrd="0" parTransId="{2F386306-EB64-440C-9B14-FE7555A629A7}" sibTransId="{D59A7595-D84C-450B-BC4E-7ABC9CC1B190}"/>
    <dgm:cxn modelId="{F0A409A1-B249-4DA9-891C-D928311DC180}" srcId="{E2AD7BD6-099A-4491-B4F6-2DB81F4703C7}" destId="{B8077FF7-A816-477B-82A7-FC75D52C6BD8}" srcOrd="5" destOrd="0" parTransId="{44CF95A5-2849-4678-8F34-07766DD50AB9}" sibTransId="{6C0E6A4B-6907-43D6-ABB6-F8AC51D9E661}"/>
    <dgm:cxn modelId="{09093756-B79F-4F07-804B-2A17F8084667}" type="presOf" srcId="{71ECB21E-CB04-4040-B0A3-FE4DC73483E7}" destId="{788A46C5-C27C-44DD-9B8F-426989281B1E}" srcOrd="0" destOrd="0" presId="urn:microsoft.com/office/officeart/2005/8/layout/hierarchy3"/>
    <dgm:cxn modelId="{64FE7780-27A5-4A59-B50E-EF2D9014B3C4}" type="presOf" srcId="{382EA200-4425-4FDB-A5B6-4B19445AE947}" destId="{E8C05187-6434-447B-8B10-5822D0D96F34}" srcOrd="0" destOrd="0" presId="urn:microsoft.com/office/officeart/2005/8/layout/hierarchy3"/>
    <dgm:cxn modelId="{27049DCF-F8A9-4DAD-8BEF-D899F2A132E4}" type="presOf" srcId="{F8CF2EC1-86E5-4B4D-B60C-021EF563E152}" destId="{CEAEBAD1-7C5C-4F4D-921E-4F6C3F8B98BD}" srcOrd="0" destOrd="0" presId="urn:microsoft.com/office/officeart/2005/8/layout/hierarchy3"/>
    <dgm:cxn modelId="{605EA684-E196-40CF-881E-5AAABE7F8312}" srcId="{E2AD7BD6-099A-4491-B4F6-2DB81F4703C7}" destId="{EE852355-A06F-4074-878D-6263330C3B2D}" srcOrd="2" destOrd="0" parTransId="{A25785B8-3275-4321-AF96-0E36E5FE0412}" sibTransId="{B6EA34C1-C188-49D1-BA02-BB67D29691AB}"/>
    <dgm:cxn modelId="{547B54F6-07A3-4417-82CE-12BC4106F8FA}" type="presOf" srcId="{7B921CA0-F138-49AB-B25A-8F6F2D70B445}" destId="{0F7E90C9-D877-4BEA-9447-DE76DFD38A4D}" srcOrd="0" destOrd="0" presId="urn:microsoft.com/office/officeart/2005/8/layout/hierarchy3"/>
    <dgm:cxn modelId="{DEBFFC3D-03C3-47F4-ACC5-82B54B6AD7CC}" type="presOf" srcId="{411776B1-303A-49DE-BD71-451E6CF38B43}" destId="{2FC558A9-28C2-4F25-8309-7B67F3BAF9E1}" srcOrd="0" destOrd="0" presId="urn:microsoft.com/office/officeart/2005/8/layout/hierarchy3"/>
    <dgm:cxn modelId="{528B7F34-518B-4C8F-AC67-067B39A825F3}" type="presOf" srcId="{13476BD0-6389-46C3-9B89-F7A68561F600}" destId="{487F435D-F745-456B-AB0F-0C30E5D32B76}" srcOrd="0" destOrd="0" presId="urn:microsoft.com/office/officeart/2005/8/layout/hierarchy3"/>
    <dgm:cxn modelId="{31F6DBD5-C7AD-4E64-A00D-1C822EBB50D7}" type="presOf" srcId="{01CED915-9238-413A-8F55-54DF9336B50F}" destId="{734EB644-74E9-4505-B9DD-13DAD39FC44F}" srcOrd="0" destOrd="0" presId="urn:microsoft.com/office/officeart/2005/8/layout/hierarchy3"/>
    <dgm:cxn modelId="{3FD98A7C-ECE4-494C-A8D2-C01ECD6D239A}" type="presOf" srcId="{9EE5A0C6-3B39-4CB5-91FE-10DA3A288A76}" destId="{D065394F-08DF-40AA-B7E7-4D9CC4CB988A}" srcOrd="0" destOrd="0" presId="urn:microsoft.com/office/officeart/2005/8/layout/hierarchy3"/>
    <dgm:cxn modelId="{49F55735-343F-4D84-B580-9113E3EC3C7D}" type="presOf" srcId="{1E56894D-59B4-43A8-8DA3-DA48D2217934}" destId="{B063F812-F890-4AC0-9E57-F35D90C06463}" srcOrd="0" destOrd="0" presId="urn:microsoft.com/office/officeart/2005/8/layout/hierarchy3"/>
    <dgm:cxn modelId="{23252346-7E14-44C8-A9E9-1DEAF003AA31}" type="presOf" srcId="{2F386306-EB64-440C-9B14-FE7555A629A7}" destId="{4C96DC4D-2816-467C-B4E2-CDB0EAD5AC2A}" srcOrd="0" destOrd="0" presId="urn:microsoft.com/office/officeart/2005/8/layout/hierarchy3"/>
    <dgm:cxn modelId="{D4FA8991-6F88-476F-940F-1B32F180A5F1}" type="presOf" srcId="{44CF95A5-2849-4678-8F34-07766DD50AB9}" destId="{B9741CC6-EE57-4A87-BB0D-C6EA9DD960E6}" srcOrd="0" destOrd="0" presId="urn:microsoft.com/office/officeart/2005/8/layout/hierarchy3"/>
    <dgm:cxn modelId="{8E7DCD81-F0C7-47AE-97A2-3FB88BD36A6E}" type="presOf" srcId="{A25785B8-3275-4321-AF96-0E36E5FE0412}" destId="{48DC70B1-B9D6-448C-A0E0-61B16E355665}" srcOrd="0" destOrd="0" presId="urn:microsoft.com/office/officeart/2005/8/layout/hierarchy3"/>
    <dgm:cxn modelId="{82F87D53-2036-4E7E-8C98-6A1269556471}" type="presOf" srcId="{DF6AAAB7-92B6-4ECF-84AE-7F5545E1C111}" destId="{EDE572D5-DAC6-446B-961E-05FA6E42F50E}" srcOrd="0" destOrd="0" presId="urn:microsoft.com/office/officeart/2005/8/layout/hierarchy3"/>
    <dgm:cxn modelId="{C49D9676-A3EF-4985-83BD-863C7CDB851E}" srcId="{E2AD7BD6-099A-4491-B4F6-2DB81F4703C7}" destId="{7B921CA0-F138-49AB-B25A-8F6F2D70B445}" srcOrd="1" destOrd="0" parTransId="{1E56894D-59B4-43A8-8DA3-DA48D2217934}" sibTransId="{452D332B-4974-4DD1-BA64-95DB690333AA}"/>
    <dgm:cxn modelId="{5206BFF3-AD3F-48F7-8698-E24519D77140}" srcId="{E2AD7BD6-099A-4491-B4F6-2DB81F4703C7}" destId="{86011EE8-78DB-4545-942B-81AA278D2FB9}" srcOrd="4" destOrd="0" parTransId="{9EE5A0C6-3B39-4CB5-91FE-10DA3A288A76}" sibTransId="{550B29CF-1BED-4909-9EFA-66DFBF081C8B}"/>
    <dgm:cxn modelId="{342C3239-5BE5-4C8D-AB7B-7C405CC9139C}" type="presOf" srcId="{80DDF313-43F0-4977-8C3B-87ED1312728B}" destId="{486DF332-F3A2-4FF8-B196-4632A8BFFBA7}" srcOrd="0" destOrd="0" presId="urn:microsoft.com/office/officeart/2005/8/layout/hierarchy3"/>
    <dgm:cxn modelId="{CCA72EC4-DA82-4739-BF6E-4CD39EC345A2}" type="presOf" srcId="{2565D584-E2B8-4DED-BE56-32EFA66DD501}" destId="{18441CEB-A4C0-4EA5-92FE-D0B94D3C0C54}" srcOrd="0" destOrd="0" presId="urn:microsoft.com/office/officeart/2005/8/layout/hierarchy3"/>
    <dgm:cxn modelId="{D2AB5E3F-8027-4BB9-9961-01BEEA293455}" type="presOf" srcId="{E2AD7BD6-099A-4491-B4F6-2DB81F4703C7}" destId="{EEBC6D16-35A0-45F0-9F17-765FDD92B080}" srcOrd="0" destOrd="0" presId="urn:microsoft.com/office/officeart/2005/8/layout/hierarchy3"/>
    <dgm:cxn modelId="{535A68F3-C92B-4F84-A5B0-5AB93938F2C3}" srcId="{411776B1-303A-49DE-BD71-451E6CF38B43}" destId="{E2AD7BD6-099A-4491-B4F6-2DB81F4703C7}" srcOrd="2" destOrd="0" parTransId="{A9E0B555-32AC-4A11-9C79-FED4F138B199}" sibTransId="{8F36D20E-357C-4F25-B302-99087EE530CD}"/>
    <dgm:cxn modelId="{C94BE3BC-65CD-40E6-A377-E5045FF9EBDF}" type="presOf" srcId="{E0987D75-088E-411B-AAF9-D47AF7FEE07F}" destId="{056868CD-9393-4A8B-812E-B70B16259C6A}" srcOrd="0" destOrd="0" presId="urn:microsoft.com/office/officeart/2005/8/layout/hierarchy3"/>
    <dgm:cxn modelId="{E8CB36B9-3E24-4E46-8363-535D4E939DFD}" type="presOf" srcId="{E2AD7BD6-099A-4491-B4F6-2DB81F4703C7}" destId="{C8512631-2023-4517-9BB9-33204F73A755}" srcOrd="1" destOrd="0" presId="urn:microsoft.com/office/officeart/2005/8/layout/hierarchy3"/>
    <dgm:cxn modelId="{FB7CCA83-ACCC-4A48-A9CF-85A6D45B80CE}" srcId="{F8CF2EC1-86E5-4B4D-B60C-021EF563E152}" destId="{DF6AAAB7-92B6-4ECF-84AE-7F5545E1C111}" srcOrd="1" destOrd="0" parTransId="{71ECB21E-CB04-4040-B0A3-FE4DC73483E7}" sibTransId="{8C972CED-55C1-420B-9DF7-53A9CE9B08FB}"/>
    <dgm:cxn modelId="{D27D730B-DCDF-412E-9327-A36DD73E8E3E}" type="presParOf" srcId="{2FC558A9-28C2-4F25-8309-7B67F3BAF9E1}" destId="{02AF2AA9-EFAB-454D-ACC0-50A2BB9EAB28}" srcOrd="0" destOrd="0" presId="urn:microsoft.com/office/officeart/2005/8/layout/hierarchy3"/>
    <dgm:cxn modelId="{F69C7D6E-C08A-4F22-88DE-86B892BABE14}" type="presParOf" srcId="{02AF2AA9-EFAB-454D-ACC0-50A2BB9EAB28}" destId="{67FD6D6B-BBE4-472D-9590-5B1BF34B235A}" srcOrd="0" destOrd="0" presId="urn:microsoft.com/office/officeart/2005/8/layout/hierarchy3"/>
    <dgm:cxn modelId="{056387B3-E614-43E3-BF48-6700E0B433D3}" type="presParOf" srcId="{67FD6D6B-BBE4-472D-9590-5B1BF34B235A}" destId="{CEAEBAD1-7C5C-4F4D-921E-4F6C3F8B98BD}" srcOrd="0" destOrd="0" presId="urn:microsoft.com/office/officeart/2005/8/layout/hierarchy3"/>
    <dgm:cxn modelId="{A98E7C2D-FB6E-454E-84BD-DBEDBFA03F43}" type="presParOf" srcId="{67FD6D6B-BBE4-472D-9590-5B1BF34B235A}" destId="{B18B81C1-D930-46AE-8D62-3B7C52885E2C}" srcOrd="1" destOrd="0" presId="urn:microsoft.com/office/officeart/2005/8/layout/hierarchy3"/>
    <dgm:cxn modelId="{F8C61887-9359-48E8-A4A0-2D216EA36794}" type="presParOf" srcId="{02AF2AA9-EFAB-454D-ACC0-50A2BB9EAB28}" destId="{9A269338-31D9-4F65-9193-C226DA878BBC}" srcOrd="1" destOrd="0" presId="urn:microsoft.com/office/officeart/2005/8/layout/hierarchy3"/>
    <dgm:cxn modelId="{1D316775-36BA-462C-92AF-76AAAE44EDDE}" type="presParOf" srcId="{9A269338-31D9-4F65-9193-C226DA878BBC}" destId="{734EB644-74E9-4505-B9DD-13DAD39FC44F}" srcOrd="0" destOrd="0" presId="urn:microsoft.com/office/officeart/2005/8/layout/hierarchy3"/>
    <dgm:cxn modelId="{C07E82CA-AC69-438C-B852-4AD461712308}" type="presParOf" srcId="{9A269338-31D9-4F65-9193-C226DA878BBC}" destId="{E8C05187-6434-447B-8B10-5822D0D96F34}" srcOrd="1" destOrd="0" presId="urn:microsoft.com/office/officeart/2005/8/layout/hierarchy3"/>
    <dgm:cxn modelId="{89825FA8-EC1A-4B9E-89A6-9C670FEC3EC8}" type="presParOf" srcId="{9A269338-31D9-4F65-9193-C226DA878BBC}" destId="{788A46C5-C27C-44DD-9B8F-426989281B1E}" srcOrd="2" destOrd="0" presId="urn:microsoft.com/office/officeart/2005/8/layout/hierarchy3"/>
    <dgm:cxn modelId="{A7206026-F23E-4D4E-A4EA-D8E8B2FBD37B}" type="presParOf" srcId="{9A269338-31D9-4F65-9193-C226DA878BBC}" destId="{EDE572D5-DAC6-446B-961E-05FA6E42F50E}" srcOrd="3" destOrd="0" presId="urn:microsoft.com/office/officeart/2005/8/layout/hierarchy3"/>
    <dgm:cxn modelId="{D2CF10D0-1D0A-4BB8-BF6C-01C32DF0567E}" type="presParOf" srcId="{9A269338-31D9-4F65-9193-C226DA878BBC}" destId="{4C96DC4D-2816-467C-B4E2-CDB0EAD5AC2A}" srcOrd="4" destOrd="0" presId="urn:microsoft.com/office/officeart/2005/8/layout/hierarchy3"/>
    <dgm:cxn modelId="{B2DBD4C8-0B91-4EA7-B6D9-49504FAE43A1}" type="presParOf" srcId="{9A269338-31D9-4F65-9193-C226DA878BBC}" destId="{213CE88E-7462-4C6D-B6E2-6BA843AB7A16}" srcOrd="5" destOrd="0" presId="urn:microsoft.com/office/officeart/2005/8/layout/hierarchy3"/>
    <dgm:cxn modelId="{6841631A-0ABD-4A4D-9D51-2AF2E4661467}" type="presParOf" srcId="{2FC558A9-28C2-4F25-8309-7B67F3BAF9E1}" destId="{DF71711B-87A0-4E81-B69A-D1B885E69663}" srcOrd="1" destOrd="0" presId="urn:microsoft.com/office/officeart/2005/8/layout/hierarchy3"/>
    <dgm:cxn modelId="{74BEDC4E-1073-4F1D-BCC8-4CFF947A0393}" type="presParOf" srcId="{DF71711B-87A0-4E81-B69A-D1B885E69663}" destId="{85AA5F2B-E3DB-4876-9AD3-BABF6AE0A1F4}" srcOrd="0" destOrd="0" presId="urn:microsoft.com/office/officeart/2005/8/layout/hierarchy3"/>
    <dgm:cxn modelId="{28658929-7ABF-4078-A20D-478DF01C44F9}" type="presParOf" srcId="{85AA5F2B-E3DB-4876-9AD3-BABF6AE0A1F4}" destId="{056868CD-9393-4A8B-812E-B70B16259C6A}" srcOrd="0" destOrd="0" presId="urn:microsoft.com/office/officeart/2005/8/layout/hierarchy3"/>
    <dgm:cxn modelId="{DAF67D7F-18AA-4DAF-BD5E-31CC01A82505}" type="presParOf" srcId="{85AA5F2B-E3DB-4876-9AD3-BABF6AE0A1F4}" destId="{733EB70A-B6F0-49ED-88B4-860974E585CD}" srcOrd="1" destOrd="0" presId="urn:microsoft.com/office/officeart/2005/8/layout/hierarchy3"/>
    <dgm:cxn modelId="{7543E0FC-5977-4F1D-9CFF-9FD51D885934}" type="presParOf" srcId="{DF71711B-87A0-4E81-B69A-D1B885E69663}" destId="{CA7ED563-DB6C-408F-9D28-51FA9CBDB67D}" srcOrd="1" destOrd="0" presId="urn:microsoft.com/office/officeart/2005/8/layout/hierarchy3"/>
    <dgm:cxn modelId="{8CE65215-7288-4738-919F-32346BCF9445}" type="presParOf" srcId="{2FC558A9-28C2-4F25-8309-7B67F3BAF9E1}" destId="{A752586A-51F6-4ACB-8972-3A08B45C071B}" srcOrd="2" destOrd="0" presId="urn:microsoft.com/office/officeart/2005/8/layout/hierarchy3"/>
    <dgm:cxn modelId="{44C1AE2C-143E-4410-A2DD-443357CF7E4E}" type="presParOf" srcId="{A752586A-51F6-4ACB-8972-3A08B45C071B}" destId="{A65971D9-B3FE-47BE-B026-604D46138E5A}" srcOrd="0" destOrd="0" presId="urn:microsoft.com/office/officeart/2005/8/layout/hierarchy3"/>
    <dgm:cxn modelId="{076E75F9-FF10-4962-811F-F71E676D67C0}" type="presParOf" srcId="{A65971D9-B3FE-47BE-B026-604D46138E5A}" destId="{EEBC6D16-35A0-45F0-9F17-765FDD92B080}" srcOrd="0" destOrd="0" presId="urn:microsoft.com/office/officeart/2005/8/layout/hierarchy3"/>
    <dgm:cxn modelId="{31BCDC1D-2D93-4340-BB57-07C390DC8E4B}" type="presParOf" srcId="{A65971D9-B3FE-47BE-B026-604D46138E5A}" destId="{C8512631-2023-4517-9BB9-33204F73A755}" srcOrd="1" destOrd="0" presId="urn:microsoft.com/office/officeart/2005/8/layout/hierarchy3"/>
    <dgm:cxn modelId="{1B020542-9D45-472F-A8D6-EE135BA00995}" type="presParOf" srcId="{A752586A-51F6-4ACB-8972-3A08B45C071B}" destId="{A6BFFECB-D1A9-4DC6-9EF1-D1EC21134F2D}" srcOrd="1" destOrd="0" presId="urn:microsoft.com/office/officeart/2005/8/layout/hierarchy3"/>
    <dgm:cxn modelId="{503F3814-BE0F-40E2-B3AE-5646C171C4ED}" type="presParOf" srcId="{A6BFFECB-D1A9-4DC6-9EF1-D1EC21134F2D}" destId="{E9F9A424-843D-4AF0-A343-F392149DAC5E}" srcOrd="0" destOrd="0" presId="urn:microsoft.com/office/officeart/2005/8/layout/hierarchy3"/>
    <dgm:cxn modelId="{BAFC74E1-86F0-485B-94F1-FC56A536F857}" type="presParOf" srcId="{A6BFFECB-D1A9-4DC6-9EF1-D1EC21134F2D}" destId="{18441CEB-A4C0-4EA5-92FE-D0B94D3C0C54}" srcOrd="1" destOrd="0" presId="urn:microsoft.com/office/officeart/2005/8/layout/hierarchy3"/>
    <dgm:cxn modelId="{5357DC8F-2332-4A46-A5C4-9727C134B65D}" type="presParOf" srcId="{A6BFFECB-D1A9-4DC6-9EF1-D1EC21134F2D}" destId="{B063F812-F890-4AC0-9E57-F35D90C06463}" srcOrd="2" destOrd="0" presId="urn:microsoft.com/office/officeart/2005/8/layout/hierarchy3"/>
    <dgm:cxn modelId="{51AC6983-F40F-40D9-83E0-E4DE4338EEE8}" type="presParOf" srcId="{A6BFFECB-D1A9-4DC6-9EF1-D1EC21134F2D}" destId="{0F7E90C9-D877-4BEA-9447-DE76DFD38A4D}" srcOrd="3" destOrd="0" presId="urn:microsoft.com/office/officeart/2005/8/layout/hierarchy3"/>
    <dgm:cxn modelId="{C5CEAC26-7763-4642-B61D-374169B92C05}" type="presParOf" srcId="{A6BFFECB-D1A9-4DC6-9EF1-D1EC21134F2D}" destId="{48DC70B1-B9D6-448C-A0E0-61B16E355665}" srcOrd="4" destOrd="0" presId="urn:microsoft.com/office/officeart/2005/8/layout/hierarchy3"/>
    <dgm:cxn modelId="{ACD7FA72-7B32-479C-9B55-521759EA0281}" type="presParOf" srcId="{A6BFFECB-D1A9-4DC6-9EF1-D1EC21134F2D}" destId="{2E089EE4-C20F-46D4-83B3-4CB957731465}" srcOrd="5" destOrd="0" presId="urn:microsoft.com/office/officeart/2005/8/layout/hierarchy3"/>
    <dgm:cxn modelId="{83D7AC12-D7B2-4ECD-B0E1-B06E55F5029A}" type="presParOf" srcId="{A6BFFECB-D1A9-4DC6-9EF1-D1EC21134F2D}" destId="{486DF332-F3A2-4FF8-B196-4632A8BFFBA7}" srcOrd="6" destOrd="0" presId="urn:microsoft.com/office/officeart/2005/8/layout/hierarchy3"/>
    <dgm:cxn modelId="{B4226608-5560-4B62-A7A4-9A57A652D060}" type="presParOf" srcId="{A6BFFECB-D1A9-4DC6-9EF1-D1EC21134F2D}" destId="{2C31FB8A-FF8E-4BCB-B183-AF885982ABAC}" srcOrd="7" destOrd="0" presId="urn:microsoft.com/office/officeart/2005/8/layout/hierarchy3"/>
    <dgm:cxn modelId="{7A82970C-1751-4A57-B885-772AB53D6393}" type="presParOf" srcId="{A6BFFECB-D1A9-4DC6-9EF1-D1EC21134F2D}" destId="{D065394F-08DF-40AA-B7E7-4D9CC4CB988A}" srcOrd="8" destOrd="0" presId="urn:microsoft.com/office/officeart/2005/8/layout/hierarchy3"/>
    <dgm:cxn modelId="{D093FA54-A36D-458E-826E-F33E7F050519}" type="presParOf" srcId="{A6BFFECB-D1A9-4DC6-9EF1-D1EC21134F2D}" destId="{DD9376A8-BC14-438D-9B9D-E82B2DDCA5DD}" srcOrd="9" destOrd="0" presId="urn:microsoft.com/office/officeart/2005/8/layout/hierarchy3"/>
    <dgm:cxn modelId="{8038FCC6-D64D-46BE-A340-2D4475907B47}" type="presParOf" srcId="{A6BFFECB-D1A9-4DC6-9EF1-D1EC21134F2D}" destId="{B9741CC6-EE57-4A87-BB0D-C6EA9DD960E6}" srcOrd="10" destOrd="0" presId="urn:microsoft.com/office/officeart/2005/8/layout/hierarchy3"/>
    <dgm:cxn modelId="{0E8F5918-B995-4DE4-8870-C4B25611D927}" type="presParOf" srcId="{A6BFFECB-D1A9-4DC6-9EF1-D1EC21134F2D}" destId="{9FD3ED67-713D-42B0-87F3-FBD99540BF45}" srcOrd="11" destOrd="0" presId="urn:microsoft.com/office/officeart/2005/8/layout/hierarchy3"/>
    <dgm:cxn modelId="{4E2B319A-ED5D-4A0D-B302-5D22FB42DFB6}" type="presParOf" srcId="{A6BFFECB-D1A9-4DC6-9EF1-D1EC21134F2D}" destId="{487F435D-F745-456B-AB0F-0C30E5D32B76}" srcOrd="12" destOrd="0" presId="urn:microsoft.com/office/officeart/2005/8/layout/hierarchy3"/>
    <dgm:cxn modelId="{FE23ED42-D1D0-4D7E-98ED-0FADBC959BBE}" type="presParOf" srcId="{A6BFFECB-D1A9-4DC6-9EF1-D1EC21134F2D}" destId="{1E231031-D588-40E7-9FC8-30DC275F55DE}" srcOrd="13"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EBAD1-7C5C-4F4D-921E-4F6C3F8B98BD}">
      <dsp:nvSpPr>
        <dsp:cNvPr id="0" name=""/>
        <dsp:cNvSpPr/>
      </dsp:nvSpPr>
      <dsp:spPr>
        <a:xfrm>
          <a:off x="1827061" y="0"/>
          <a:ext cx="738038"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hr-HR" sz="800" kern="1200"/>
            <a:t>Dijagnostika*</a:t>
          </a:r>
        </a:p>
      </dsp:txBody>
      <dsp:txXfrm>
        <a:off x="1837869" y="10808"/>
        <a:ext cx="716422" cy="347403"/>
      </dsp:txXfrm>
    </dsp:sp>
    <dsp:sp modelId="{734EB644-74E9-4505-B9DD-13DAD39FC44F}">
      <dsp:nvSpPr>
        <dsp:cNvPr id="0" name=""/>
        <dsp:cNvSpPr/>
      </dsp:nvSpPr>
      <dsp:spPr>
        <a:xfrm>
          <a:off x="1855145" y="369019"/>
          <a:ext cx="91440" cy="318261"/>
        </a:xfrm>
        <a:custGeom>
          <a:avLst/>
          <a:gdLst/>
          <a:ahLst/>
          <a:cxnLst/>
          <a:rect l="0" t="0" r="0" b="0"/>
          <a:pathLst>
            <a:path>
              <a:moveTo>
                <a:pt x="45720" y="0"/>
              </a:moveTo>
              <a:lnTo>
                <a:pt x="45720" y="318261"/>
              </a:lnTo>
              <a:lnTo>
                <a:pt x="119519" y="3182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C05187-6434-447B-8B10-5822D0D96F34}">
      <dsp:nvSpPr>
        <dsp:cNvPr id="0" name=""/>
        <dsp:cNvSpPr/>
      </dsp:nvSpPr>
      <dsp:spPr>
        <a:xfrm>
          <a:off x="1974664" y="502771"/>
          <a:ext cx="590430" cy="369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hr-HR" sz="900" kern="1200"/>
            <a:t>psiholog</a:t>
          </a:r>
        </a:p>
      </dsp:txBody>
      <dsp:txXfrm>
        <a:off x="1985472" y="513579"/>
        <a:ext cx="568814" cy="347403"/>
      </dsp:txXfrm>
    </dsp:sp>
    <dsp:sp modelId="{788A46C5-C27C-44DD-9B8F-426989281B1E}">
      <dsp:nvSpPr>
        <dsp:cNvPr id="0" name=""/>
        <dsp:cNvSpPr/>
      </dsp:nvSpPr>
      <dsp:spPr>
        <a:xfrm>
          <a:off x="1900865" y="369019"/>
          <a:ext cx="107070" cy="766229"/>
        </a:xfrm>
        <a:custGeom>
          <a:avLst/>
          <a:gdLst/>
          <a:ahLst/>
          <a:cxnLst/>
          <a:rect l="0" t="0" r="0" b="0"/>
          <a:pathLst>
            <a:path>
              <a:moveTo>
                <a:pt x="0" y="0"/>
              </a:moveTo>
              <a:lnTo>
                <a:pt x="0" y="766229"/>
              </a:lnTo>
              <a:lnTo>
                <a:pt x="107070" y="7662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E572D5-DAC6-446B-961E-05FA6E42F50E}">
      <dsp:nvSpPr>
        <dsp:cNvPr id="0" name=""/>
        <dsp:cNvSpPr/>
      </dsp:nvSpPr>
      <dsp:spPr>
        <a:xfrm>
          <a:off x="2007935" y="950738"/>
          <a:ext cx="590430" cy="369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hr-HR" sz="900" kern="1200"/>
            <a:t>psihijatar</a:t>
          </a:r>
        </a:p>
      </dsp:txBody>
      <dsp:txXfrm>
        <a:off x="2018743" y="961546"/>
        <a:ext cx="568814" cy="347403"/>
      </dsp:txXfrm>
    </dsp:sp>
    <dsp:sp modelId="{4C96DC4D-2816-467C-B4E2-CDB0EAD5AC2A}">
      <dsp:nvSpPr>
        <dsp:cNvPr id="0" name=""/>
        <dsp:cNvSpPr/>
      </dsp:nvSpPr>
      <dsp:spPr>
        <a:xfrm>
          <a:off x="1900865" y="369019"/>
          <a:ext cx="107070" cy="1254117"/>
        </a:xfrm>
        <a:custGeom>
          <a:avLst/>
          <a:gdLst/>
          <a:ahLst/>
          <a:cxnLst/>
          <a:rect l="0" t="0" r="0" b="0"/>
          <a:pathLst>
            <a:path>
              <a:moveTo>
                <a:pt x="0" y="0"/>
              </a:moveTo>
              <a:lnTo>
                <a:pt x="0" y="1254117"/>
              </a:lnTo>
              <a:lnTo>
                <a:pt x="107070" y="1254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3CE88E-7462-4C6D-B6E2-6BA843AB7A16}">
      <dsp:nvSpPr>
        <dsp:cNvPr id="0" name=""/>
        <dsp:cNvSpPr/>
      </dsp:nvSpPr>
      <dsp:spPr>
        <a:xfrm>
          <a:off x="2007935" y="1438626"/>
          <a:ext cx="755184" cy="369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hr-HR" sz="800" kern="1200"/>
            <a:t>endokrionolog</a:t>
          </a:r>
        </a:p>
      </dsp:txBody>
      <dsp:txXfrm>
        <a:off x="2018743" y="1449434"/>
        <a:ext cx="733568" cy="347403"/>
      </dsp:txXfrm>
    </dsp:sp>
    <dsp:sp modelId="{056868CD-9393-4A8B-812E-B70B16259C6A}">
      <dsp:nvSpPr>
        <dsp:cNvPr id="0" name=""/>
        <dsp:cNvSpPr/>
      </dsp:nvSpPr>
      <dsp:spPr>
        <a:xfrm>
          <a:off x="707102" y="833586"/>
          <a:ext cx="825577" cy="4602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hr-HR" sz="800" kern="1200"/>
            <a:t>izrada mišljenja za Nacionalno zdravstveno vijeće</a:t>
          </a:r>
        </a:p>
      </dsp:txBody>
      <dsp:txXfrm>
        <a:off x="720584" y="847068"/>
        <a:ext cx="798613" cy="433335"/>
      </dsp:txXfrm>
    </dsp:sp>
    <dsp:sp modelId="{EEBC6D16-35A0-45F0-9F17-765FDD92B080}">
      <dsp:nvSpPr>
        <dsp:cNvPr id="0" name=""/>
        <dsp:cNvSpPr/>
      </dsp:nvSpPr>
      <dsp:spPr>
        <a:xfrm>
          <a:off x="3340498" y="1573"/>
          <a:ext cx="738038"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hr-HR" sz="800" kern="1200"/>
            <a:t>Tretman </a:t>
          </a:r>
        </a:p>
      </dsp:txBody>
      <dsp:txXfrm>
        <a:off x="3351306" y="12381"/>
        <a:ext cx="716422" cy="347403"/>
      </dsp:txXfrm>
    </dsp:sp>
    <dsp:sp modelId="{E9F9A424-843D-4AF0-A343-F392149DAC5E}">
      <dsp:nvSpPr>
        <dsp:cNvPr id="0" name=""/>
        <dsp:cNvSpPr/>
      </dsp:nvSpPr>
      <dsp:spPr>
        <a:xfrm>
          <a:off x="3368582" y="370592"/>
          <a:ext cx="91440" cy="276764"/>
        </a:xfrm>
        <a:custGeom>
          <a:avLst/>
          <a:gdLst/>
          <a:ahLst/>
          <a:cxnLst/>
          <a:rect l="0" t="0" r="0" b="0"/>
          <a:pathLst>
            <a:path>
              <a:moveTo>
                <a:pt x="45720" y="0"/>
              </a:moveTo>
              <a:lnTo>
                <a:pt x="45720" y="276764"/>
              </a:lnTo>
              <a:lnTo>
                <a:pt x="119523" y="2767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441CEB-A4C0-4EA5-92FE-D0B94D3C0C54}">
      <dsp:nvSpPr>
        <dsp:cNvPr id="0" name=""/>
        <dsp:cNvSpPr/>
      </dsp:nvSpPr>
      <dsp:spPr>
        <a:xfrm>
          <a:off x="3488106" y="462847"/>
          <a:ext cx="590430" cy="369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hr-HR" sz="800" kern="1200"/>
            <a:t>psihološko savjetovanje</a:t>
          </a:r>
        </a:p>
      </dsp:txBody>
      <dsp:txXfrm>
        <a:off x="3498914" y="473655"/>
        <a:ext cx="568814" cy="347403"/>
      </dsp:txXfrm>
    </dsp:sp>
    <dsp:sp modelId="{B063F812-F890-4AC0-9E57-F35D90C06463}">
      <dsp:nvSpPr>
        <dsp:cNvPr id="0" name=""/>
        <dsp:cNvSpPr/>
      </dsp:nvSpPr>
      <dsp:spPr>
        <a:xfrm>
          <a:off x="3368582" y="370592"/>
          <a:ext cx="91440" cy="738038"/>
        </a:xfrm>
        <a:custGeom>
          <a:avLst/>
          <a:gdLst/>
          <a:ahLst/>
          <a:cxnLst/>
          <a:rect l="0" t="0" r="0" b="0"/>
          <a:pathLst>
            <a:path>
              <a:moveTo>
                <a:pt x="45720" y="0"/>
              </a:moveTo>
              <a:lnTo>
                <a:pt x="45720" y="738038"/>
              </a:lnTo>
              <a:lnTo>
                <a:pt x="119523" y="7380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7E90C9-D877-4BEA-9447-DE76DFD38A4D}">
      <dsp:nvSpPr>
        <dsp:cNvPr id="0" name=""/>
        <dsp:cNvSpPr/>
      </dsp:nvSpPr>
      <dsp:spPr>
        <a:xfrm>
          <a:off x="3488106" y="924121"/>
          <a:ext cx="590430" cy="369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hr-HR" sz="600" kern="1200"/>
            <a:t>psihijatrijski tretman komorbiditetnih stanja</a:t>
          </a:r>
        </a:p>
      </dsp:txBody>
      <dsp:txXfrm>
        <a:off x="3498914" y="934929"/>
        <a:ext cx="568814" cy="347403"/>
      </dsp:txXfrm>
    </dsp:sp>
    <dsp:sp modelId="{48DC70B1-B9D6-448C-A0E0-61B16E355665}">
      <dsp:nvSpPr>
        <dsp:cNvPr id="0" name=""/>
        <dsp:cNvSpPr/>
      </dsp:nvSpPr>
      <dsp:spPr>
        <a:xfrm>
          <a:off x="3368582" y="370592"/>
          <a:ext cx="91440" cy="1199312"/>
        </a:xfrm>
        <a:custGeom>
          <a:avLst/>
          <a:gdLst/>
          <a:ahLst/>
          <a:cxnLst/>
          <a:rect l="0" t="0" r="0" b="0"/>
          <a:pathLst>
            <a:path>
              <a:moveTo>
                <a:pt x="45720" y="0"/>
              </a:moveTo>
              <a:lnTo>
                <a:pt x="45720" y="1199312"/>
              </a:lnTo>
              <a:lnTo>
                <a:pt x="119523" y="11993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089EE4-C20F-46D4-83B3-4CB957731465}">
      <dsp:nvSpPr>
        <dsp:cNvPr id="0" name=""/>
        <dsp:cNvSpPr/>
      </dsp:nvSpPr>
      <dsp:spPr>
        <a:xfrm>
          <a:off x="3488106" y="1385395"/>
          <a:ext cx="590430" cy="369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hr-HR" sz="700" kern="1200"/>
            <a:t>endokrinološki tretman</a:t>
          </a:r>
        </a:p>
      </dsp:txBody>
      <dsp:txXfrm>
        <a:off x="3498914" y="1396203"/>
        <a:ext cx="568814" cy="347403"/>
      </dsp:txXfrm>
    </dsp:sp>
    <dsp:sp modelId="{486DF332-F3A2-4FF8-B196-4632A8BFFBA7}">
      <dsp:nvSpPr>
        <dsp:cNvPr id="0" name=""/>
        <dsp:cNvSpPr/>
      </dsp:nvSpPr>
      <dsp:spPr>
        <a:xfrm>
          <a:off x="3368582" y="370592"/>
          <a:ext cx="91440" cy="1660587"/>
        </a:xfrm>
        <a:custGeom>
          <a:avLst/>
          <a:gdLst/>
          <a:ahLst/>
          <a:cxnLst/>
          <a:rect l="0" t="0" r="0" b="0"/>
          <a:pathLst>
            <a:path>
              <a:moveTo>
                <a:pt x="45720" y="0"/>
              </a:moveTo>
              <a:lnTo>
                <a:pt x="45720" y="1660587"/>
              </a:lnTo>
              <a:lnTo>
                <a:pt x="119523" y="16605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1FB8A-FF8E-4BCB-B183-AF885982ABAC}">
      <dsp:nvSpPr>
        <dsp:cNvPr id="0" name=""/>
        <dsp:cNvSpPr/>
      </dsp:nvSpPr>
      <dsp:spPr>
        <a:xfrm>
          <a:off x="3488106" y="1846669"/>
          <a:ext cx="590430" cy="369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hr-HR" sz="700" kern="1200"/>
            <a:t>logopedski tretman</a:t>
          </a:r>
        </a:p>
      </dsp:txBody>
      <dsp:txXfrm>
        <a:off x="3498914" y="1857477"/>
        <a:ext cx="568814" cy="347403"/>
      </dsp:txXfrm>
    </dsp:sp>
    <dsp:sp modelId="{D065394F-08DF-40AA-B7E7-4D9CC4CB988A}">
      <dsp:nvSpPr>
        <dsp:cNvPr id="0" name=""/>
        <dsp:cNvSpPr/>
      </dsp:nvSpPr>
      <dsp:spPr>
        <a:xfrm>
          <a:off x="3368582" y="370592"/>
          <a:ext cx="91440" cy="2121861"/>
        </a:xfrm>
        <a:custGeom>
          <a:avLst/>
          <a:gdLst/>
          <a:ahLst/>
          <a:cxnLst/>
          <a:rect l="0" t="0" r="0" b="0"/>
          <a:pathLst>
            <a:path>
              <a:moveTo>
                <a:pt x="45720" y="0"/>
              </a:moveTo>
              <a:lnTo>
                <a:pt x="45720" y="2121861"/>
              </a:lnTo>
              <a:lnTo>
                <a:pt x="119523" y="21218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9376A8-BC14-438D-9B9D-E82B2DDCA5DD}">
      <dsp:nvSpPr>
        <dsp:cNvPr id="0" name=""/>
        <dsp:cNvSpPr/>
      </dsp:nvSpPr>
      <dsp:spPr>
        <a:xfrm>
          <a:off x="3488106" y="2307944"/>
          <a:ext cx="590430" cy="369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hr-HR" sz="700" kern="1200"/>
            <a:t>ginekološki tretman</a:t>
          </a:r>
        </a:p>
      </dsp:txBody>
      <dsp:txXfrm>
        <a:off x="3498914" y="2318752"/>
        <a:ext cx="568814" cy="347403"/>
      </dsp:txXfrm>
    </dsp:sp>
    <dsp:sp modelId="{B9741CC6-EE57-4A87-BB0D-C6EA9DD960E6}">
      <dsp:nvSpPr>
        <dsp:cNvPr id="0" name=""/>
        <dsp:cNvSpPr/>
      </dsp:nvSpPr>
      <dsp:spPr>
        <a:xfrm>
          <a:off x="3368582" y="370592"/>
          <a:ext cx="91440" cy="2583135"/>
        </a:xfrm>
        <a:custGeom>
          <a:avLst/>
          <a:gdLst/>
          <a:ahLst/>
          <a:cxnLst/>
          <a:rect l="0" t="0" r="0" b="0"/>
          <a:pathLst>
            <a:path>
              <a:moveTo>
                <a:pt x="45720" y="0"/>
              </a:moveTo>
              <a:lnTo>
                <a:pt x="45720" y="2583135"/>
              </a:lnTo>
              <a:lnTo>
                <a:pt x="119523" y="25831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D3ED67-713D-42B0-87F3-FBD99540BF45}">
      <dsp:nvSpPr>
        <dsp:cNvPr id="0" name=""/>
        <dsp:cNvSpPr/>
      </dsp:nvSpPr>
      <dsp:spPr>
        <a:xfrm>
          <a:off x="3488106" y="2769218"/>
          <a:ext cx="590430" cy="369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hr-HR" sz="600" kern="1200"/>
            <a:t>kirurški tretman ("gornja operacija")</a:t>
          </a:r>
        </a:p>
      </dsp:txBody>
      <dsp:txXfrm>
        <a:off x="3498914" y="2780026"/>
        <a:ext cx="568814" cy="347403"/>
      </dsp:txXfrm>
    </dsp:sp>
    <dsp:sp modelId="{487F435D-F745-456B-AB0F-0C30E5D32B76}">
      <dsp:nvSpPr>
        <dsp:cNvPr id="0" name=""/>
        <dsp:cNvSpPr/>
      </dsp:nvSpPr>
      <dsp:spPr>
        <a:xfrm>
          <a:off x="3368582" y="370592"/>
          <a:ext cx="91440" cy="3044409"/>
        </a:xfrm>
        <a:custGeom>
          <a:avLst/>
          <a:gdLst/>
          <a:ahLst/>
          <a:cxnLst/>
          <a:rect l="0" t="0" r="0" b="0"/>
          <a:pathLst>
            <a:path>
              <a:moveTo>
                <a:pt x="45720" y="0"/>
              </a:moveTo>
              <a:lnTo>
                <a:pt x="45720" y="3044409"/>
              </a:lnTo>
              <a:lnTo>
                <a:pt x="119523" y="30444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231031-D588-40E7-9FC8-30DC275F55DE}">
      <dsp:nvSpPr>
        <dsp:cNvPr id="0" name=""/>
        <dsp:cNvSpPr/>
      </dsp:nvSpPr>
      <dsp:spPr>
        <a:xfrm>
          <a:off x="3488106" y="3230492"/>
          <a:ext cx="590430" cy="369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hr-HR" sz="600" kern="1200"/>
            <a:t>kirurški tretman ("donja operacija")</a:t>
          </a:r>
        </a:p>
      </dsp:txBody>
      <dsp:txXfrm>
        <a:off x="3498914" y="3241300"/>
        <a:ext cx="568814" cy="3474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6A51-93B8-4391-B1F6-257D28D5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16106</Words>
  <Characters>91805</Characters>
  <Application>Microsoft Office Word</Application>
  <DocSecurity>0</DocSecurity>
  <Lines>765</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Stručne smjernice za izradu mišljenja zdravstvenih radnika i psihologa o promjeni spola ili života u drugom rodnom identitetu</vt:lpstr>
      <vt:lpstr>Stručne smjernice za izradu mišljenja zdravstvenih radnika i psihologa o promjeni spola ili života u drugom rodnom identitetu</vt:lpstr>
    </vt:vector>
  </TitlesOfParts>
  <Company>MEF</Company>
  <LinksUpToDate>false</LinksUpToDate>
  <CharactersWithSpaces>107696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Stručne smjernice za izradu mišljenja zdravstvenih radnika i psihologa o promjeni spola ili života u drugom rodnom identitetu</dc:title>
  <dc:creator>korisnik</dc:creator>
  <cp:lastModifiedBy>Sekačić Kristina</cp:lastModifiedBy>
  <cp:revision>5</cp:revision>
  <cp:lastPrinted>2015-11-11T12:36:00Z</cp:lastPrinted>
  <dcterms:created xsi:type="dcterms:W3CDTF">2015-11-11T12:46:00Z</dcterms:created>
  <dcterms:modified xsi:type="dcterms:W3CDTF">2015-11-12T08:28:00Z</dcterms:modified>
</cp:coreProperties>
</file>